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60" w:lineRule="auto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CCP-LAW</w:t>
      </w:r>
    </w:p>
    <w:p w:rsidR="00000000" w:rsidDel="00000000" w:rsidP="00000000" w:rsidRDefault="00000000" w:rsidRPr="00000000" w14:paraId="00000003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Curricula development on Climate Change Policy and Law</w:t>
      </w:r>
    </w:p>
    <w:p w:rsidR="00000000" w:rsidDel="00000000" w:rsidP="00000000" w:rsidRDefault="00000000" w:rsidRPr="00000000" w14:paraId="00000004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Subject title: Student Briefing Sheet CBD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Developing a National Biodiversity Strategy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3399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Overview: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Many countries around the world have developed National Biodiversity Strategies and Action Plans (NBSAPs) as a way to fulfill their obligations under the Convention on Biological Diversity. An NBSAP lays out a country's priorities, targets, and plans for conserving biodiversity and using biological resources sustainably.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Your Task: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 will work in small groups to draft key sections of an NBSAP for an assigned country. Each group will focus on one of the following components: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 and Trends of Biodiversity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Threats to Biodiversity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Vision, Principles, and Targets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 Plan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Preparation: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Research the assigned country's biodiversity, ecosystems, species, protected areas, and major biodiversity threats.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examples of real NBSAPs from other countries to understand their typical structure and content.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Drafting the NBSAP Section: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Status/Trends: Summarize key information about the diversity of ecosystems, species, genetic resources present. Highlight endemic, threatened, or economically important biodiversity.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Threats: Identify and describe the major pressures threatening biodiversity such as habitat loss, overexploitation, invasive species, pollution, climate change etc.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Vision/Targets: Draft a vision statement for biodiversity conservation. Set SMART (Specific, Measurable, Achievable, Relevant, Time-bound) targets addressing key issues.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Action Plan: Propose strategic actions, policies, projects and initiatives needed to achieve the vision and targets. Assign lead roles, timelines and resources required.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Presentation: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group will present their draft NBSAP section and recommendations. The class will discuss how to integrate components into a coherent national strategy.</w:t>
      </w:r>
    </w:p>
    <w:p w:rsidR="00000000" w:rsidDel="00000000" w:rsidP="00000000" w:rsidRDefault="00000000" w:rsidRPr="00000000" w14:paraId="0000001A">
      <w:pPr>
        <w:spacing w:after="240" w:lineRule="auto"/>
        <w:jc w:val="center"/>
        <w:rPr>
          <w:rFonts w:ascii="Century Gothic" w:cs="Century Gothic" w:eastAsia="Century Gothic" w:hAnsi="Century Gothic"/>
          <w:b w:val="1"/>
          <w:color w:val="00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3237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3237"/>
      </w:tabs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-899158</wp:posOffset>
          </wp:positionH>
          <wp:positionV relativeFrom="paragraph">
            <wp:posOffset>-481768</wp:posOffset>
          </wp:positionV>
          <wp:extent cx="7540625" cy="1083310"/>
          <wp:effectExtent b="0" l="0" r="0" t="0"/>
          <wp:wrapSquare wrapText="bothSides" distB="0" distT="0" distL="114300" distR="114300"/>
          <wp:docPr id="137474767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-789937</wp:posOffset>
          </wp:positionH>
          <wp:positionV relativeFrom="paragraph">
            <wp:posOffset>-309243</wp:posOffset>
          </wp:positionV>
          <wp:extent cx="2242185" cy="609600"/>
          <wp:effectExtent b="0" l="0" r="0" t="0"/>
          <wp:wrapSquare wrapText="bothSides" distB="0" distT="0" distL="114300" distR="114300"/>
          <wp:docPr id="137474767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4621530</wp:posOffset>
          </wp:positionH>
          <wp:positionV relativeFrom="paragraph">
            <wp:posOffset>-434338</wp:posOffset>
          </wp:positionV>
          <wp:extent cx="1980565" cy="1062355"/>
          <wp:effectExtent b="0" l="0" r="0" t="0"/>
          <wp:wrapSquare wrapText="bothSides" distB="0" distT="0" distL="114300" distR="114300"/>
          <wp:docPr id="13747476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 w:val="1"/>
    <w:rsid w:val="0023043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 w:val="1"/>
    <w:unhideWhenUsed w:val="1"/>
    <w:rsid w:val="0023043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 w:val="1"/>
    <w:rsid w:val="003D687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350F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YP+4HtoTgQwnHEwbo3HkA6XrQ==">CgMxLjA4AHIhMVktcXF0LTh3YzFGMVVJaXphdGF2UUpGemcwclBrbjJK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2024-03-27T08:34:00Z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