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60" w:lineRule="auto"/>
        <w:jc w:val="center"/>
        <w:rPr>
          <w:rFonts w:ascii="Century Gothic" w:cs="Century Gothic" w:eastAsia="Century Gothic" w:hAnsi="Century Gothic"/>
          <w:b w:val="1"/>
          <w:color w:val="003399"/>
          <w:sz w:val="28"/>
          <w:szCs w:val="28"/>
        </w:rPr>
      </w:pPr>
      <w:r w:rsidDel="00000000" w:rsidR="00000000" w:rsidRPr="00000000">
        <w:rPr>
          <w:rFonts w:ascii="Century Gothic" w:cs="Century Gothic" w:eastAsia="Century Gothic" w:hAnsi="Century Gothic"/>
          <w:b w:val="1"/>
          <w:color w:val="003399"/>
          <w:sz w:val="28"/>
          <w:szCs w:val="28"/>
          <w:rtl w:val="0"/>
        </w:rPr>
        <w:t xml:space="preserve">CCP-LAW</w:t>
      </w:r>
    </w:p>
    <w:p w:rsidR="00000000" w:rsidDel="00000000" w:rsidP="00000000" w:rsidRDefault="00000000" w:rsidRPr="00000000" w14:paraId="00000002">
      <w:pPr>
        <w:spacing w:before="160" w:lineRule="auto"/>
        <w:jc w:val="center"/>
        <w:rPr>
          <w:rFonts w:ascii="Century Gothic" w:cs="Century Gothic" w:eastAsia="Century Gothic" w:hAnsi="Century Gothic"/>
          <w:b w:val="1"/>
          <w:color w:val="003399"/>
          <w:sz w:val="28"/>
          <w:szCs w:val="28"/>
        </w:rPr>
      </w:pPr>
      <w:r w:rsidDel="00000000" w:rsidR="00000000" w:rsidRPr="00000000">
        <w:rPr>
          <w:rFonts w:ascii="Century Gothic" w:cs="Century Gothic" w:eastAsia="Century Gothic" w:hAnsi="Century Gothic"/>
          <w:b w:val="1"/>
          <w:color w:val="003399"/>
          <w:sz w:val="28"/>
          <w:szCs w:val="28"/>
          <w:rtl w:val="0"/>
        </w:rPr>
        <w:t xml:space="preserve">Curricula development on Climate Change Policy and Law</w:t>
      </w:r>
    </w:p>
    <w:p w:rsidR="00000000" w:rsidDel="00000000" w:rsidP="00000000" w:rsidRDefault="00000000" w:rsidRPr="00000000" w14:paraId="00000003">
      <w:pPr>
        <w:spacing w:before="160" w:lineRule="auto"/>
        <w:rPr>
          <w:rFonts w:ascii="Century Gothic" w:cs="Century Gothic" w:eastAsia="Century Gothic" w:hAnsi="Century Gothic"/>
          <w:b w:val="1"/>
          <w:color w:val="003399"/>
        </w:rPr>
      </w:pPr>
      <w:r w:rsidDel="00000000" w:rsidR="00000000" w:rsidRPr="00000000">
        <w:rPr>
          <w:rtl w:val="0"/>
        </w:rPr>
      </w:r>
    </w:p>
    <w:p w:rsidR="00000000" w:rsidDel="00000000" w:rsidP="00000000" w:rsidRDefault="00000000" w:rsidRPr="00000000" w14:paraId="00000004">
      <w:pPr>
        <w:spacing w:before="160" w:lineRule="auto"/>
        <w:rPr>
          <w:rFonts w:ascii="Times New Roman" w:cs="Times New Roman" w:eastAsia="Times New Roman" w:hAnsi="Times New Roman"/>
          <w:color w:val="000000"/>
          <w:sz w:val="11"/>
          <w:szCs w:val="11"/>
        </w:rPr>
      </w:pPr>
      <w:r w:rsidDel="00000000" w:rsidR="00000000" w:rsidRPr="00000000">
        <w:rPr>
          <w:rFonts w:ascii="Century Gothic" w:cs="Century Gothic" w:eastAsia="Century Gothic" w:hAnsi="Century Gothic"/>
          <w:b w:val="1"/>
          <w:color w:val="003399"/>
          <w:sz w:val="22"/>
          <w:szCs w:val="22"/>
          <w:rtl w:val="0"/>
        </w:rPr>
        <w:t xml:space="preserve">Subject title: International Environmental and Climate Change Law</w:t>
      </w:r>
      <w:r w:rsidDel="00000000" w:rsidR="00000000" w:rsidRPr="00000000">
        <w:rPr>
          <w:rtl w:val="0"/>
        </w:rPr>
      </w:r>
    </w:p>
    <w:p w:rsidR="00000000" w:rsidDel="00000000" w:rsidP="00000000" w:rsidRDefault="00000000" w:rsidRPr="00000000" w14:paraId="00000005">
      <w:pPr>
        <w:spacing w:after="160" w:before="320" w:lineRule="auto"/>
        <w:rPr>
          <w:rFonts w:ascii="Century Gothic" w:cs="Century Gothic" w:eastAsia="Century Gothic" w:hAnsi="Century Gothic"/>
          <w:b w:val="1"/>
          <w:color w:val="003399"/>
          <w:sz w:val="20"/>
          <w:szCs w:val="20"/>
        </w:rPr>
      </w:pPr>
      <w:r w:rsidDel="00000000" w:rsidR="00000000" w:rsidRPr="00000000">
        <w:rPr>
          <w:rFonts w:ascii="Century Gothic" w:cs="Century Gothic" w:eastAsia="Century Gothic" w:hAnsi="Century Gothic"/>
          <w:b w:val="1"/>
          <w:color w:val="003399"/>
          <w:sz w:val="20"/>
          <w:szCs w:val="20"/>
          <w:rtl w:val="0"/>
        </w:rPr>
        <w:t xml:space="preserve">Instructor Name: Dr. Shashikala Gurpur and Lasya Vyakaranam</w:t>
      </w:r>
    </w:p>
    <w:p w:rsidR="00000000" w:rsidDel="00000000" w:rsidP="00000000" w:rsidRDefault="00000000" w:rsidRPr="00000000" w14:paraId="00000006">
      <w:pPr>
        <w:spacing w:after="160" w:before="320" w:lineRule="auto"/>
        <w:jc w:val="center"/>
        <w:rPr>
          <w:rFonts w:ascii="Century Gothic" w:cs="Century Gothic" w:eastAsia="Century Gothic" w:hAnsi="Century Gothic"/>
          <w:b w:val="1"/>
          <w:color w:val="003399"/>
          <w:sz w:val="20"/>
          <w:szCs w:val="20"/>
        </w:rPr>
      </w:pPr>
      <w:r w:rsidDel="00000000" w:rsidR="00000000" w:rsidRPr="00000000">
        <w:rPr>
          <w:rFonts w:ascii="Century Gothic" w:cs="Century Gothic" w:eastAsia="Century Gothic" w:hAnsi="Century Gothic"/>
          <w:b w:val="1"/>
          <w:color w:val="003399"/>
          <w:sz w:val="20"/>
          <w:szCs w:val="20"/>
          <w:rtl w:val="0"/>
        </w:rPr>
        <w:t xml:space="preserve">Activity: Case Analysis in IRAC method  </w:t>
      </w:r>
    </w:p>
    <w:p w:rsidR="00000000" w:rsidDel="00000000" w:rsidP="00000000" w:rsidRDefault="00000000" w:rsidRPr="00000000" w14:paraId="00000007">
      <w:pPr>
        <w:spacing w:after="160" w:before="320" w:lineRule="auto"/>
        <w:rPr>
          <w:rFonts w:ascii="Century Gothic" w:cs="Century Gothic" w:eastAsia="Century Gothic" w:hAnsi="Century Gothic"/>
          <w:b w:val="1"/>
          <w:color w:val="003399"/>
          <w:sz w:val="20"/>
          <w:szCs w:val="20"/>
        </w:rPr>
      </w:pPr>
      <w:r w:rsidDel="00000000" w:rsidR="00000000" w:rsidRPr="00000000">
        <w:rPr>
          <w:rFonts w:ascii="Century Gothic" w:cs="Century Gothic" w:eastAsia="Century Gothic" w:hAnsi="Century Gothic"/>
          <w:b w:val="1"/>
          <w:color w:val="003399"/>
          <w:sz w:val="20"/>
          <w:szCs w:val="20"/>
          <w:rtl w:val="0"/>
        </w:rPr>
        <w:t xml:space="preserve">Instructions: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32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session, students are expected to read the judgements of the following case laws:</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Gabcíkovo-Nagymaros Case 1997 – </w:t>
      </w: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Session 2 Reading 1</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Pulp Mills on the River Uruguay ( Argentina v Uruguay  2010) – </w:t>
      </w: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Session 2 Reading 2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Whaling in the Antarctic (Australia v. Japan: New Zealand intervening) 2014 – </w:t>
      </w: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Session 2 Reading 3</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D">
      <w:pPr>
        <w:spacing w:line="360" w:lineRule="auto"/>
        <w:ind w:left="0" w:firstLine="0"/>
        <w:jc w:val="both"/>
        <w:rPr/>
      </w:pPr>
      <w:r w:rsidDel="00000000" w:rsidR="00000000" w:rsidRPr="00000000">
        <w:rPr>
          <w:rtl w:val="0"/>
        </w:rPr>
        <w:t xml:space="preserve">Following are the parts of IRAC analysis:</w:t>
      </w:r>
    </w:p>
    <w:p w:rsidR="00000000" w:rsidDel="00000000" w:rsidP="00000000" w:rsidRDefault="00000000" w:rsidRPr="00000000" w14:paraId="0000000E">
      <w:pPr>
        <w:numPr>
          <w:ilvl w:val="0"/>
          <w:numId w:val="1"/>
        </w:numPr>
        <w:spacing w:line="360" w:lineRule="auto"/>
        <w:ind w:left="720" w:hanging="360"/>
        <w:jc w:val="both"/>
        <w:rPr>
          <w:rFonts w:ascii="Times New Roman" w:cs="Times New Roman" w:eastAsia="Times New Roman" w:hAnsi="Times New Roman"/>
          <w:b w:val="0"/>
          <w:color w:val="000000"/>
          <w:sz w:val="11"/>
          <w:szCs w:val="11"/>
        </w:rPr>
      </w:pPr>
      <w:r w:rsidDel="00000000" w:rsidR="00000000" w:rsidRPr="00000000">
        <w:rPr>
          <w:rtl w:val="0"/>
        </w:rPr>
        <w:t xml:space="preserve">F: Facts of the case/Disputed facts. Few authors do not prefer facts in IRAC because disputed facts are captured into the issue. If it is a decided case, the history of the case is also mentioned as a part of the facts.</w:t>
      </w:r>
    </w:p>
    <w:p w:rsidR="00000000" w:rsidDel="00000000" w:rsidP="00000000" w:rsidRDefault="00000000" w:rsidRPr="00000000" w14:paraId="0000000F">
      <w:pPr>
        <w:numPr>
          <w:ilvl w:val="0"/>
          <w:numId w:val="1"/>
        </w:numPr>
        <w:spacing w:line="360" w:lineRule="auto"/>
        <w:ind w:left="720" w:hanging="360"/>
        <w:jc w:val="both"/>
        <w:rPr>
          <w:rFonts w:ascii="Times New Roman" w:cs="Times New Roman" w:eastAsia="Times New Roman" w:hAnsi="Times New Roman"/>
          <w:b w:val="0"/>
          <w:color w:val="000000"/>
          <w:sz w:val="11"/>
          <w:szCs w:val="11"/>
        </w:rPr>
      </w:pPr>
      <w:r w:rsidDel="00000000" w:rsidR="00000000" w:rsidRPr="00000000">
        <w:rPr>
          <w:rtl w:val="0"/>
        </w:rPr>
        <w:t xml:space="preserve">I: ‘I’ in IRAC stands for ‘issue(s)’ involved in the case/disputed facts;</w:t>
      </w:r>
    </w:p>
    <w:p w:rsidR="00000000" w:rsidDel="00000000" w:rsidP="00000000" w:rsidRDefault="00000000" w:rsidRPr="00000000" w14:paraId="00000010">
      <w:pPr>
        <w:numPr>
          <w:ilvl w:val="0"/>
          <w:numId w:val="1"/>
        </w:numPr>
        <w:spacing w:line="360" w:lineRule="auto"/>
        <w:ind w:left="720" w:hanging="360"/>
        <w:jc w:val="both"/>
        <w:rPr>
          <w:rFonts w:ascii="Times New Roman" w:cs="Times New Roman" w:eastAsia="Times New Roman" w:hAnsi="Times New Roman"/>
          <w:b w:val="0"/>
          <w:color w:val="000000"/>
          <w:sz w:val="11"/>
          <w:szCs w:val="11"/>
        </w:rPr>
      </w:pPr>
      <w:r w:rsidDel="00000000" w:rsidR="00000000" w:rsidRPr="00000000">
        <w:rPr>
          <w:rtl w:val="0"/>
        </w:rPr>
        <w:t xml:space="preserve">R: ‘R’ in IRAC stands for ‘Rules’ applicable to the case or to the disputed facts;</w:t>
      </w:r>
    </w:p>
    <w:p w:rsidR="00000000" w:rsidDel="00000000" w:rsidP="00000000" w:rsidRDefault="00000000" w:rsidRPr="00000000" w14:paraId="00000011">
      <w:pPr>
        <w:numPr>
          <w:ilvl w:val="0"/>
          <w:numId w:val="1"/>
        </w:numPr>
        <w:spacing w:line="360" w:lineRule="auto"/>
        <w:ind w:left="720" w:hanging="360"/>
        <w:jc w:val="both"/>
        <w:rPr>
          <w:rFonts w:ascii="Times New Roman" w:cs="Times New Roman" w:eastAsia="Times New Roman" w:hAnsi="Times New Roman"/>
          <w:b w:val="0"/>
          <w:color w:val="000000"/>
          <w:sz w:val="11"/>
          <w:szCs w:val="11"/>
        </w:rPr>
      </w:pPr>
      <w:r w:rsidDel="00000000" w:rsidR="00000000" w:rsidRPr="00000000">
        <w:rPr>
          <w:rtl w:val="0"/>
        </w:rPr>
        <w:t xml:space="preserve">A: ‘A’ in IRAC stands for ‘Analysis/Application’ of the rules to the case/disputed facts;</w:t>
      </w:r>
    </w:p>
    <w:p w:rsidR="00000000" w:rsidDel="00000000" w:rsidP="00000000" w:rsidRDefault="00000000" w:rsidRPr="00000000" w14:paraId="00000012">
      <w:pPr>
        <w:numPr>
          <w:ilvl w:val="0"/>
          <w:numId w:val="1"/>
        </w:numPr>
        <w:spacing w:line="360" w:lineRule="auto"/>
        <w:ind w:left="720" w:hanging="360"/>
        <w:jc w:val="both"/>
        <w:rPr>
          <w:rFonts w:ascii="Times New Roman" w:cs="Times New Roman" w:eastAsia="Times New Roman" w:hAnsi="Times New Roman"/>
          <w:b w:val="0"/>
          <w:color w:val="000000"/>
          <w:sz w:val="11"/>
          <w:szCs w:val="11"/>
        </w:rPr>
      </w:pPr>
      <w:r w:rsidDel="00000000" w:rsidR="00000000" w:rsidRPr="00000000">
        <w:rPr>
          <w:rtl w:val="0"/>
        </w:rPr>
        <w:t xml:space="preserve">C: ‘C’ in IRAC stands for ‘Conclusion’.</w:t>
      </w:r>
    </w:p>
    <w:p w:rsidR="00000000" w:rsidDel="00000000" w:rsidP="00000000" w:rsidRDefault="00000000" w:rsidRPr="00000000" w14:paraId="00000013">
      <w:pPr>
        <w:spacing w:line="360" w:lineRule="auto"/>
        <w:ind w:left="0" w:firstLine="0"/>
        <w:jc w:val="both"/>
        <w:rPr/>
      </w:pPr>
      <w:r w:rsidDel="00000000" w:rsidR="00000000" w:rsidRPr="00000000">
        <w:rPr>
          <w:rtl w:val="0"/>
        </w:rPr>
        <w:t xml:space="preserve">Following is a brief explanation of the parts of IRAC:</w:t>
      </w:r>
    </w:p>
    <w:p w:rsidR="00000000" w:rsidDel="00000000" w:rsidP="00000000" w:rsidRDefault="00000000" w:rsidRPr="00000000" w14:paraId="00000014">
      <w:pPr>
        <w:numPr>
          <w:ilvl w:val="0"/>
          <w:numId w:val="1"/>
        </w:numPr>
        <w:spacing w:line="360" w:lineRule="auto"/>
        <w:ind w:left="720" w:hanging="360"/>
        <w:jc w:val="both"/>
        <w:rPr>
          <w:rFonts w:ascii="Times New Roman" w:cs="Times New Roman" w:eastAsia="Times New Roman" w:hAnsi="Times New Roman"/>
          <w:b w:val="0"/>
          <w:color w:val="000000"/>
          <w:sz w:val="11"/>
          <w:szCs w:val="11"/>
        </w:rPr>
      </w:pPr>
      <w:r w:rsidDel="00000000" w:rsidR="00000000" w:rsidRPr="00000000">
        <w:rPr>
          <w:b w:val="1"/>
          <w:rtl w:val="0"/>
        </w:rPr>
        <w:t xml:space="preserve">Facts</w:t>
      </w:r>
      <w:r w:rsidDel="00000000" w:rsidR="00000000" w:rsidRPr="00000000">
        <w:rPr>
          <w:rtl w:val="0"/>
        </w:rPr>
        <w:t xml:space="preserve">: Facts of the case shall be arranged in chronological order; it shall be divided into paragraphs and subparagraphs.</w:t>
      </w:r>
    </w:p>
    <w:p w:rsidR="00000000" w:rsidDel="00000000" w:rsidP="00000000" w:rsidRDefault="00000000" w:rsidRPr="00000000" w14:paraId="00000015">
      <w:pPr>
        <w:numPr>
          <w:ilvl w:val="0"/>
          <w:numId w:val="1"/>
        </w:numPr>
        <w:spacing w:line="360" w:lineRule="auto"/>
        <w:ind w:left="720" w:hanging="360"/>
        <w:jc w:val="both"/>
        <w:rPr>
          <w:rFonts w:ascii="Times New Roman" w:cs="Times New Roman" w:eastAsia="Times New Roman" w:hAnsi="Times New Roman"/>
          <w:b w:val="0"/>
          <w:color w:val="000000"/>
          <w:sz w:val="11"/>
          <w:szCs w:val="11"/>
        </w:rPr>
      </w:pPr>
      <w:r w:rsidDel="00000000" w:rsidR="00000000" w:rsidRPr="00000000">
        <w:rPr>
          <w:b w:val="1"/>
          <w:rtl w:val="0"/>
        </w:rPr>
        <w:t xml:space="preserve">Issue:</w:t>
      </w:r>
      <w:r w:rsidDel="00000000" w:rsidR="00000000" w:rsidRPr="00000000">
        <w:rPr>
          <w:rtl w:val="0"/>
        </w:rPr>
        <w:t xml:space="preserve"> Issue is a legal or factual question or statement or contention. The issue is a statement or question based upon the disputed facts/interpretation. Depending upon the disputed facts or interpretation you may pose one or multiple issue(s). To find the issue, ask: “what is in controversy”.</w:t>
      </w:r>
    </w:p>
    <w:p w:rsidR="00000000" w:rsidDel="00000000" w:rsidP="00000000" w:rsidRDefault="00000000" w:rsidRPr="00000000" w14:paraId="00000016">
      <w:pPr>
        <w:numPr>
          <w:ilvl w:val="0"/>
          <w:numId w:val="1"/>
        </w:numPr>
        <w:spacing w:line="360" w:lineRule="auto"/>
        <w:ind w:left="720" w:hanging="360"/>
        <w:jc w:val="both"/>
        <w:rPr>
          <w:rFonts w:ascii="Times New Roman" w:cs="Times New Roman" w:eastAsia="Times New Roman" w:hAnsi="Times New Roman"/>
          <w:b w:val="0"/>
          <w:color w:val="000000"/>
          <w:sz w:val="11"/>
          <w:szCs w:val="11"/>
        </w:rPr>
      </w:pPr>
      <w:r w:rsidDel="00000000" w:rsidR="00000000" w:rsidRPr="00000000">
        <w:rPr>
          <w:b w:val="1"/>
          <w:rtl w:val="0"/>
        </w:rPr>
        <w:t xml:space="preserve">Rules:</w:t>
      </w:r>
      <w:r w:rsidDel="00000000" w:rsidR="00000000" w:rsidRPr="00000000">
        <w:rPr>
          <w:rtl w:val="0"/>
        </w:rPr>
        <w:t xml:space="preserve"> Rules mean laws applicable to the issue(s). The term 'Rules' in IRAC is used in a broader sense. It includes the provisions of the Constitution, sections of the Legislation, Ordinances, Orders, Bye-laws, Rules, Regulations, Notifications, Customs, Contracts, Laws declared by the judiciary in the form of ratio decidendi and Policy. There has to be an elaboration of its parts.</w:t>
      </w:r>
    </w:p>
    <w:p w:rsidR="00000000" w:rsidDel="00000000" w:rsidP="00000000" w:rsidRDefault="00000000" w:rsidRPr="00000000" w14:paraId="00000017">
      <w:pPr>
        <w:numPr>
          <w:ilvl w:val="0"/>
          <w:numId w:val="1"/>
        </w:numPr>
        <w:spacing w:line="360" w:lineRule="auto"/>
        <w:ind w:left="720" w:hanging="360"/>
        <w:jc w:val="both"/>
        <w:rPr>
          <w:rFonts w:ascii="Times New Roman" w:cs="Times New Roman" w:eastAsia="Times New Roman" w:hAnsi="Times New Roman"/>
          <w:b w:val="0"/>
          <w:color w:val="000000"/>
          <w:sz w:val="11"/>
          <w:szCs w:val="11"/>
        </w:rPr>
      </w:pPr>
      <w:r w:rsidDel="00000000" w:rsidR="00000000" w:rsidRPr="00000000">
        <w:rPr>
          <w:b w:val="1"/>
          <w:rtl w:val="0"/>
        </w:rPr>
        <w:t xml:space="preserve">Analysis/Application:</w:t>
      </w:r>
      <w:r w:rsidDel="00000000" w:rsidR="00000000" w:rsidRPr="00000000">
        <w:rPr>
          <w:rtl w:val="0"/>
        </w:rPr>
        <w:t xml:space="preserve"> In analysis or application you have to analyze how and why laws are applicable to the issues. In analysis, you can state evidence/logic/analogy/arguments and explain how you have arrived at your conclusion with respect to the application of the laws to issue(s) in the case. You need to connect to issues and facts. A good analysis also includes weightage given to both the sides, the counterarguments and how did each party apply the rules to their lexicon of facts. Use the rules and cases laws (from National and Foreign Courts) to support your logic/analogy/arguments wherever applicable. The ratio with binding value shall be preferred over the ratio which has persuasive value.</w:t>
      </w:r>
    </w:p>
    <w:p w:rsidR="00000000" w:rsidDel="00000000" w:rsidP="00000000" w:rsidRDefault="00000000" w:rsidRPr="00000000" w14:paraId="00000018">
      <w:pPr>
        <w:numPr>
          <w:ilvl w:val="0"/>
          <w:numId w:val="1"/>
        </w:numPr>
        <w:spacing w:line="360" w:lineRule="auto"/>
        <w:ind w:left="720" w:hanging="360"/>
        <w:jc w:val="both"/>
        <w:rPr>
          <w:rFonts w:ascii="Times New Roman" w:cs="Times New Roman" w:eastAsia="Times New Roman" w:hAnsi="Times New Roman"/>
          <w:b w:val="0"/>
          <w:color w:val="000000"/>
          <w:sz w:val="11"/>
          <w:szCs w:val="11"/>
        </w:rPr>
      </w:pPr>
      <w:r w:rsidDel="00000000" w:rsidR="00000000" w:rsidRPr="00000000">
        <w:rPr>
          <w:b w:val="1"/>
          <w:rtl w:val="0"/>
        </w:rPr>
        <w:t xml:space="preserve">Conclusion:</w:t>
      </w:r>
      <w:r w:rsidDel="00000000" w:rsidR="00000000" w:rsidRPr="00000000">
        <w:rPr>
          <w:rtl w:val="0"/>
        </w:rPr>
        <w:t xml:space="preserve"> Brief summary of analysis or application. It is a summary of courts finding, your opinion, disagreements. It should also focus on:</w:t>
      </w:r>
    </w:p>
    <w:p w:rsidR="00000000" w:rsidDel="00000000" w:rsidP="00000000" w:rsidRDefault="00000000" w:rsidRPr="00000000" w14:paraId="00000019">
      <w:pPr>
        <w:numPr>
          <w:ilvl w:val="1"/>
          <w:numId w:val="1"/>
        </w:numPr>
        <w:spacing w:line="360" w:lineRule="auto"/>
        <w:ind w:left="1440" w:hanging="360"/>
        <w:jc w:val="both"/>
        <w:rPr>
          <w:rFonts w:ascii="Times New Roman" w:cs="Times New Roman" w:eastAsia="Times New Roman" w:hAnsi="Times New Roman"/>
          <w:b w:val="0"/>
          <w:color w:val="000000"/>
          <w:sz w:val="11"/>
          <w:szCs w:val="11"/>
        </w:rPr>
      </w:pPr>
      <w:r w:rsidDel="00000000" w:rsidR="00000000" w:rsidRPr="00000000">
        <w:rPr>
          <w:rtl w:val="0"/>
        </w:rPr>
        <w:t xml:space="preserve">a) Crucial facts and alternatives;</w:t>
      </w:r>
    </w:p>
    <w:p w:rsidR="00000000" w:rsidDel="00000000" w:rsidP="00000000" w:rsidRDefault="00000000" w:rsidRPr="00000000" w14:paraId="0000001A">
      <w:pPr>
        <w:numPr>
          <w:ilvl w:val="1"/>
          <w:numId w:val="1"/>
        </w:numPr>
        <w:spacing w:line="360" w:lineRule="auto"/>
        <w:ind w:left="1440" w:hanging="360"/>
        <w:jc w:val="both"/>
        <w:rPr>
          <w:rFonts w:ascii="Times New Roman" w:cs="Times New Roman" w:eastAsia="Times New Roman" w:hAnsi="Times New Roman"/>
          <w:b w:val="0"/>
          <w:color w:val="000000"/>
          <w:sz w:val="11"/>
          <w:szCs w:val="11"/>
        </w:rPr>
      </w:pPr>
      <w:r w:rsidDel="00000000" w:rsidR="00000000" w:rsidRPr="00000000">
        <w:rPr>
          <w:rtl w:val="0"/>
        </w:rPr>
        <w:t xml:space="preserve">b) Counter analysis.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mail the IRAC case analysis submissions to _______________ prior to the next offline synchronous lecture. </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23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-899159</wp:posOffset>
          </wp:positionH>
          <wp:positionV relativeFrom="paragraph">
            <wp:posOffset>-195335</wp:posOffset>
          </wp:positionV>
          <wp:extent cx="7540625" cy="1083310"/>
          <wp:effectExtent b="0" l="0" r="0" t="0"/>
          <wp:wrapSquare wrapText="bothSides" distB="0" distT="0" distL="114300" distR="114300"/>
          <wp:docPr id="141258843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40625" cy="108331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-789938</wp:posOffset>
          </wp:positionH>
          <wp:positionV relativeFrom="paragraph">
            <wp:posOffset>-309244</wp:posOffset>
          </wp:positionV>
          <wp:extent cx="2242185" cy="609600"/>
          <wp:effectExtent b="0" l="0" r="0" t="0"/>
          <wp:wrapSquare wrapText="bothSides" distB="0" distT="0" distL="114300" distR="114300"/>
          <wp:docPr id="141258843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42185" cy="609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4621530</wp:posOffset>
          </wp:positionH>
          <wp:positionV relativeFrom="paragraph">
            <wp:posOffset>-434339</wp:posOffset>
          </wp:positionV>
          <wp:extent cx="1980565" cy="1062355"/>
          <wp:effectExtent b="0" l="0" r="0" t="0"/>
          <wp:wrapSquare wrapText="bothSides" distB="0" distT="0" distL="114300" distR="114300"/>
          <wp:docPr id="141258843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80565" cy="1062355"/>
                  </a:xfrm>
                  <a:prstGeom prst="rect"/>
                  <a:ln/>
                </pic:spPr>
              </pic:pic>
            </a:graphicData>
          </a:graphic>
        </wp:anchor>
      </w:draw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entury Gothic" w:cs="Century Gothic" w:eastAsia="Century Gothic" w:hAnsi="Century Gothic"/>
        <w:b w:val="1"/>
        <w:color w:val="003399"/>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36C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B36C1"/>
    <w:pPr>
      <w:tabs>
        <w:tab w:val="center" w:pos="4513"/>
        <w:tab w:val="right" w:pos="9026"/>
      </w:tabs>
    </w:pPr>
  </w:style>
  <w:style w:type="character" w:styleId="HeaderChar" w:customStyle="1">
    <w:name w:val="Header Char"/>
    <w:basedOn w:val="DefaultParagraphFont"/>
    <w:link w:val="Header"/>
    <w:uiPriority w:val="99"/>
    <w:rsid w:val="00BB36C1"/>
  </w:style>
  <w:style w:type="paragraph" w:styleId="Footer">
    <w:name w:val="footer"/>
    <w:basedOn w:val="Normal"/>
    <w:link w:val="FooterChar"/>
    <w:uiPriority w:val="99"/>
    <w:unhideWhenUsed w:val="1"/>
    <w:rsid w:val="00BB36C1"/>
    <w:pPr>
      <w:tabs>
        <w:tab w:val="center" w:pos="4513"/>
        <w:tab w:val="right" w:pos="9026"/>
      </w:tabs>
    </w:pPr>
  </w:style>
  <w:style w:type="character" w:styleId="FooterChar" w:customStyle="1">
    <w:name w:val="Footer Char"/>
    <w:basedOn w:val="DefaultParagraphFont"/>
    <w:link w:val="Footer"/>
    <w:uiPriority w:val="99"/>
    <w:rsid w:val="00BB36C1"/>
  </w:style>
  <w:style w:type="paragraph" w:styleId="ListParagraph">
    <w:name w:val="List Paragraph"/>
    <w:basedOn w:val="Normal"/>
    <w:uiPriority w:val="34"/>
    <w:qFormat w:val="1"/>
    <w:rsid w:val="00BB36C1"/>
    <w:pPr>
      <w:ind w:left="720"/>
      <w:contextualSpacing w:val="1"/>
    </w:pPr>
  </w:style>
  <w:style w:type="character" w:styleId="Hyperlink">
    <w:name w:val="Hyperlink"/>
    <w:basedOn w:val="DefaultParagraphFont"/>
    <w:uiPriority w:val="99"/>
    <w:semiHidden w:val="1"/>
    <w:unhideWhenUsed w:val="1"/>
    <w:rsid w:val="00BB36C1"/>
    <w:rPr>
      <w:color w:val="0000ff"/>
      <w:u w:val="single"/>
    </w:rPr>
  </w:style>
  <w:style w:type="paragraph" w:styleId="NormalWeb">
    <w:name w:val="Normal (Web)"/>
    <w:basedOn w:val="Normal"/>
    <w:uiPriority w:val="99"/>
    <w:semiHidden w:val="1"/>
    <w:unhideWhenUsed w:val="1"/>
    <w:rsid w:val="00BB36C1"/>
    <w:pPr>
      <w:spacing w:after="100" w:afterAutospacing="1" w:before="100" w:beforeAutospacing="1"/>
    </w:pPr>
    <w:rPr>
      <w:rFonts w:ascii="Times New Roman" w:cs="Times New Roman" w:eastAsia="Times New Roman" w:hAnsi="Times New Roman"/>
      <w:kern w:val="0"/>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8IaKmlkBEp0kVTYl4Y2NCD1NLA==">CgMxLjA4AHIhMXl2bTRva0hCcWNhRkNFWFJSd044dTVqRno5YzUwcEcx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2024-03-26T04:28:00Z</dcterms:created>
  <dc:creator>Microsoft Office User</dc:creator>
</cp:coreProperties>
</file>