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0327DA78"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8848A0">
        <w:rPr>
          <w:rFonts w:ascii="Century Gothic" w:eastAsia="Century Gothic" w:hAnsi="Century Gothic" w:cs="Century Gothic"/>
          <w:b/>
          <w:color w:val="003399"/>
          <w:sz w:val="20"/>
          <w:szCs w:val="20"/>
        </w:rPr>
        <w:t>Student Presentations on Economic and Social Impact of Migration</w:t>
      </w:r>
    </w:p>
    <w:p w14:paraId="39F81E92" w14:textId="77777777" w:rsidR="00A52940" w:rsidRDefault="00000000">
      <w:pPr>
        <w:spacing w:before="320" w:after="160"/>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Instructions:</w:t>
      </w:r>
    </w:p>
    <w:p w14:paraId="344A8241" w14:textId="52DC5935" w:rsidR="00382568" w:rsidRDefault="00C350F1" w:rsidP="00382568">
      <w:pPr>
        <w:numPr>
          <w:ilvl w:val="0"/>
          <w:numId w:val="1"/>
        </w:numPr>
        <w:pBdr>
          <w:top w:val="nil"/>
          <w:left w:val="nil"/>
          <w:bottom w:val="nil"/>
          <w:right w:val="nil"/>
          <w:between w:val="nil"/>
        </w:pBdr>
        <w:spacing w:before="320" w:line="360" w:lineRule="auto"/>
        <w:jc w:val="both"/>
        <w:rPr>
          <w:lang w:val="en-GB"/>
        </w:rPr>
      </w:pPr>
      <w:r>
        <w:rPr>
          <w:color w:val="000000"/>
        </w:rPr>
        <w:t>To undertake this activity, the students are expected to read the</w:t>
      </w:r>
      <w:r w:rsidR="000F5C26">
        <w:rPr>
          <w:color w:val="000000"/>
        </w:rPr>
        <w:t xml:space="preserve"> pre-reading</w:t>
      </w:r>
      <w:r w:rsidR="008848A0">
        <w:rPr>
          <w:color w:val="000000"/>
        </w:rPr>
        <w:t xml:space="preserve"> and the case studies</w:t>
      </w:r>
      <w:r w:rsidR="000F5C26">
        <w:rPr>
          <w:color w:val="000000"/>
        </w:rPr>
        <w:t xml:space="preserve"> for</w:t>
      </w:r>
      <w:r>
        <w:rPr>
          <w:color w:val="000000"/>
        </w:rPr>
        <w:t xml:space="preserve"> </w:t>
      </w:r>
      <w:r>
        <w:t>“</w:t>
      </w:r>
      <w:r w:rsidR="007C047E">
        <w:t xml:space="preserve">Topic </w:t>
      </w:r>
      <w:r w:rsidR="008848A0">
        <w:t xml:space="preserve">3 </w:t>
      </w:r>
      <w:r>
        <w:t xml:space="preserve">Session </w:t>
      </w:r>
      <w:r w:rsidR="008848A0">
        <w:t>1</w:t>
      </w:r>
      <w:r>
        <w:t>”</w:t>
      </w:r>
      <w:r>
        <w:rPr>
          <w:lang w:val="en-GB"/>
        </w:rPr>
        <w:t>.</w:t>
      </w:r>
    </w:p>
    <w:p w14:paraId="258DA249" w14:textId="3126476F" w:rsidR="008848A0" w:rsidRPr="008848A0" w:rsidRDefault="008848A0" w:rsidP="008848A0">
      <w:pPr>
        <w:pStyle w:val="ListParagraph"/>
        <w:numPr>
          <w:ilvl w:val="0"/>
          <w:numId w:val="1"/>
        </w:num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b/>
          <w:bCs/>
          <w:i/>
          <w:iCs/>
          <w:color w:val="222222"/>
          <w:lang w:val="en-US"/>
        </w:rPr>
        <w:t>The list of topics for each student has been allotted below.</w:t>
      </w:r>
      <w:r w:rsidRPr="008848A0">
        <w:rPr>
          <w:rFonts w:ascii="Times New Roman" w:eastAsia="Times New Roman" w:hAnsi="Times New Roman" w:cs="Times New Roman"/>
          <w:color w:val="222222"/>
          <w:lang w:val="en-US"/>
        </w:rPr>
        <w:t> Each student/group of students are required to prepare a PPT on the topic and present the same before the class.</w:t>
      </w:r>
    </w:p>
    <w:p w14:paraId="45979393" w14:textId="0DB3F2FB" w:rsidR="008848A0" w:rsidRPr="008848A0" w:rsidRDefault="008848A0" w:rsidP="008848A0">
      <w:pPr>
        <w:pStyle w:val="ListParagraph"/>
        <w:numPr>
          <w:ilvl w:val="0"/>
          <w:numId w:val="1"/>
        </w:num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color w:val="222222"/>
          <w:sz w:val="14"/>
          <w:szCs w:val="14"/>
          <w:lang w:val="en-US"/>
        </w:rPr>
        <w:t> </w:t>
      </w:r>
      <w:r w:rsidRPr="008848A0">
        <w:rPr>
          <w:rFonts w:ascii="Times New Roman" w:eastAsia="Times New Roman" w:hAnsi="Times New Roman" w:cs="Times New Roman"/>
          <w:b/>
          <w:bCs/>
          <w:color w:val="222222"/>
          <w:u w:val="single"/>
          <w:lang w:val="en-US"/>
        </w:rPr>
        <w:t>Besides presenting, each student is also required to act as a moderator in another presentation.</w:t>
      </w:r>
      <w:r w:rsidRPr="008848A0">
        <w:rPr>
          <w:rFonts w:ascii="Times New Roman" w:eastAsia="Times New Roman" w:hAnsi="Times New Roman" w:cs="Times New Roman"/>
          <w:color w:val="222222"/>
          <w:lang w:val="en-US"/>
        </w:rPr>
        <w:t> The</w:t>
      </w:r>
      <w:r>
        <w:rPr>
          <w:rFonts w:ascii="Times New Roman" w:eastAsia="Times New Roman" w:hAnsi="Times New Roman" w:cs="Times New Roman"/>
          <w:color w:val="222222"/>
          <w:lang w:val="en-US"/>
        </w:rPr>
        <w:t xml:space="preserve"> </w:t>
      </w:r>
      <w:r w:rsidRPr="008848A0">
        <w:rPr>
          <w:rFonts w:ascii="Times New Roman" w:eastAsia="Times New Roman" w:hAnsi="Times New Roman" w:cs="Times New Roman"/>
          <w:color w:val="222222"/>
          <w:lang w:val="en-US"/>
        </w:rPr>
        <w:t>moderator should be thorough with the topic of the presentation. The moderator is expected to listen carefully to the presenter group. Thereafter the moderator is expected to enrich the discussion by bringing in supplementary/complementary perspectives to the presenter group. Such perspectives may include but not be limited to points that the presenter group has missed/left out, points significant to the presentation, different dimensions or contemporary developments to the presentation, personal opinions of the moderator justified through references and research etc. The moderator should also try to involve the audience in their discussions.</w:t>
      </w:r>
    </w:p>
    <w:p w14:paraId="60802322" w14:textId="514DCC5B" w:rsidR="008848A0" w:rsidRPr="008848A0" w:rsidRDefault="008848A0" w:rsidP="008848A0">
      <w:pPr>
        <w:pStyle w:val="ListParagraph"/>
        <w:numPr>
          <w:ilvl w:val="0"/>
          <w:numId w:val="1"/>
        </w:numPr>
        <w:shd w:val="clear" w:color="auto" w:fill="FFFFFF"/>
        <w:spacing w:line="235" w:lineRule="atLeast"/>
        <w:rPr>
          <w:rFonts w:eastAsia="Times New Roman"/>
          <w:color w:val="222222"/>
          <w:sz w:val="22"/>
          <w:szCs w:val="22"/>
        </w:rPr>
      </w:pPr>
      <w:r w:rsidRPr="008848A0">
        <w:rPr>
          <w:rFonts w:ascii="Times New Roman" w:eastAsia="Times New Roman" w:hAnsi="Times New Roman" w:cs="Times New Roman"/>
          <w:color w:val="222222"/>
          <w:lang w:val="en-US"/>
        </w:rPr>
        <w:t> Prior consultation with the faculty is strongly recommended. </w:t>
      </w:r>
    </w:p>
    <w:p w14:paraId="03A2E52A" w14:textId="77777777" w:rsidR="008848A0" w:rsidRPr="008848A0" w:rsidRDefault="008848A0" w:rsidP="008848A0">
      <w:pPr>
        <w:pStyle w:val="ListParagraph"/>
        <w:numPr>
          <w:ilvl w:val="0"/>
          <w:numId w:val="1"/>
        </w:num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color w:val="222222"/>
          <w:sz w:val="14"/>
          <w:szCs w:val="14"/>
          <w:lang w:val="en-US"/>
        </w:rPr>
        <w:t> </w:t>
      </w:r>
      <w:r w:rsidRPr="008848A0">
        <w:rPr>
          <w:rFonts w:ascii="Times New Roman" w:eastAsia="Times New Roman" w:hAnsi="Times New Roman" w:cs="Times New Roman"/>
          <w:color w:val="222222"/>
          <w:lang w:val="en-US"/>
        </w:rPr>
        <w:t>In the table below each presenter group and moderators have been assigned tentative dates for their presentation. </w:t>
      </w:r>
      <w:r w:rsidRPr="008848A0">
        <w:rPr>
          <w:rFonts w:ascii="Times New Roman" w:eastAsia="Times New Roman" w:hAnsi="Times New Roman" w:cs="Times New Roman"/>
          <w:b/>
          <w:bCs/>
          <w:i/>
          <w:iCs/>
          <w:color w:val="222222"/>
          <w:lang w:val="en-US"/>
        </w:rPr>
        <w:t xml:space="preserve">All the dates are tentative. </w:t>
      </w:r>
    </w:p>
    <w:p w14:paraId="1D817BC9" w14:textId="16458242" w:rsidR="008848A0" w:rsidRPr="008848A0" w:rsidRDefault="008848A0" w:rsidP="008848A0">
      <w:pPr>
        <w:pStyle w:val="ListParagraph"/>
        <w:numPr>
          <w:ilvl w:val="0"/>
          <w:numId w:val="1"/>
        </w:num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color w:val="222222"/>
          <w:sz w:val="14"/>
          <w:szCs w:val="14"/>
          <w:lang w:val="en-US"/>
        </w:rPr>
        <w:t> </w:t>
      </w:r>
      <w:r w:rsidRPr="008848A0">
        <w:rPr>
          <w:rFonts w:ascii="Times New Roman" w:eastAsia="Times New Roman" w:hAnsi="Times New Roman" w:cs="Times New Roman"/>
          <w:b/>
          <w:bCs/>
          <w:color w:val="222222"/>
          <w:lang w:val="en-US"/>
        </w:rPr>
        <w:t>List of Topics</w:t>
      </w:r>
    </w:p>
    <w:p w14:paraId="5F271638" w14:textId="61670187" w:rsidR="008848A0" w:rsidRPr="008848A0" w:rsidRDefault="008848A0" w:rsidP="008848A0">
      <w:pPr>
        <w:shd w:val="clear" w:color="auto" w:fill="FFFFFF"/>
        <w:spacing w:line="235" w:lineRule="atLeast"/>
        <w:ind w:left="360"/>
        <w:rPr>
          <w:rFonts w:eastAsia="Times New Roman"/>
          <w:color w:val="222222"/>
          <w:sz w:val="22"/>
          <w:szCs w:val="22"/>
        </w:rPr>
      </w:pPr>
    </w:p>
    <w:tbl>
      <w:tblPr>
        <w:tblW w:w="0" w:type="auto"/>
        <w:tblInd w:w="720" w:type="dxa"/>
        <w:shd w:val="clear" w:color="auto" w:fill="FFFFFF"/>
        <w:tblCellMar>
          <w:left w:w="0" w:type="dxa"/>
          <w:right w:w="0" w:type="dxa"/>
        </w:tblCellMar>
        <w:tblLook w:val="04A0" w:firstRow="1" w:lastRow="0" w:firstColumn="1" w:lastColumn="0" w:noHBand="0" w:noVBand="1"/>
      </w:tblPr>
      <w:tblGrid>
        <w:gridCol w:w="776"/>
        <w:gridCol w:w="1908"/>
        <w:gridCol w:w="2262"/>
        <w:gridCol w:w="1712"/>
        <w:gridCol w:w="1628"/>
      </w:tblGrid>
      <w:tr w:rsidR="008848A0" w:rsidRPr="008848A0" w14:paraId="568D3672" w14:textId="77777777" w:rsidTr="008848A0">
        <w:tc>
          <w:tcPr>
            <w:tcW w:w="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8C3908" w14:textId="356B0DB6"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374EE2E" w14:textId="30C29F6E"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7E2215F" w14:textId="75DCC01A"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26F801" w14:textId="62C68B59"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7050492" w14:textId="7CEE7334" w:rsidR="008848A0" w:rsidRPr="008848A0" w:rsidRDefault="008848A0" w:rsidP="008848A0">
            <w:pPr>
              <w:spacing w:after="200" w:line="330" w:lineRule="atLeast"/>
              <w:jc w:val="both"/>
              <w:rPr>
                <w:rFonts w:eastAsia="Times New Roman"/>
                <w:color w:val="222222"/>
                <w:sz w:val="22"/>
                <w:szCs w:val="22"/>
              </w:rPr>
            </w:pPr>
          </w:p>
        </w:tc>
      </w:tr>
      <w:tr w:rsidR="008848A0" w:rsidRPr="008848A0" w14:paraId="4A393840"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6E925A" w14:textId="36E18673"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F13F7D" w14:textId="1B3E1ECD"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1D927A" w14:textId="317D8199"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892AAA" w14:textId="19782704"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367527" w14:textId="66F9D548" w:rsidR="008848A0" w:rsidRPr="008848A0" w:rsidRDefault="008848A0" w:rsidP="008848A0">
            <w:pPr>
              <w:spacing w:after="200" w:line="330" w:lineRule="atLeast"/>
              <w:jc w:val="both"/>
              <w:rPr>
                <w:rFonts w:eastAsia="Times New Roman"/>
                <w:color w:val="222222"/>
                <w:sz w:val="22"/>
                <w:szCs w:val="22"/>
              </w:rPr>
            </w:pPr>
          </w:p>
        </w:tc>
      </w:tr>
      <w:tr w:rsidR="008848A0" w:rsidRPr="008848A0" w14:paraId="24914542"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02FDC59" w14:textId="6E9FF269"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2507CB" w14:textId="3FE27B46"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A8B8D6" w14:textId="1ED0809B"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C7A52A" w14:textId="7DF0ED67"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17F150" w14:textId="04EFC8A4" w:rsidR="008848A0" w:rsidRPr="008848A0" w:rsidRDefault="008848A0" w:rsidP="008848A0">
            <w:pPr>
              <w:spacing w:after="200" w:line="330" w:lineRule="atLeast"/>
              <w:jc w:val="both"/>
              <w:rPr>
                <w:rFonts w:eastAsia="Times New Roman"/>
                <w:color w:val="222222"/>
                <w:sz w:val="22"/>
                <w:szCs w:val="22"/>
              </w:rPr>
            </w:pPr>
          </w:p>
        </w:tc>
      </w:tr>
      <w:tr w:rsidR="008848A0" w:rsidRPr="008848A0" w14:paraId="360D7AB5"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1ABB7B" w14:textId="25737CE2"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975AF7" w14:textId="4866A923"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89842F" w14:textId="01161D17"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A0B95D" w14:textId="35B1CD1A"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F43120" w14:textId="09239903" w:rsidR="008848A0" w:rsidRPr="008848A0" w:rsidRDefault="008848A0" w:rsidP="008848A0">
            <w:pPr>
              <w:spacing w:after="200" w:line="330" w:lineRule="atLeast"/>
              <w:jc w:val="both"/>
              <w:rPr>
                <w:rFonts w:eastAsia="Times New Roman"/>
                <w:color w:val="222222"/>
                <w:sz w:val="22"/>
                <w:szCs w:val="22"/>
              </w:rPr>
            </w:pPr>
          </w:p>
        </w:tc>
      </w:tr>
      <w:tr w:rsidR="008848A0" w:rsidRPr="008848A0" w14:paraId="0EE176DC"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2942AD" w14:textId="2887D6C4"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EFC748" w14:textId="30D64E55"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BCE63B" w14:textId="39F616D2"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D92D71" w14:textId="15640A91"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B110E1" w14:textId="5A8AAEE2" w:rsidR="008848A0" w:rsidRPr="008848A0" w:rsidRDefault="008848A0" w:rsidP="008848A0">
            <w:pPr>
              <w:spacing w:after="200" w:line="330" w:lineRule="atLeast"/>
              <w:jc w:val="both"/>
              <w:rPr>
                <w:rFonts w:eastAsia="Times New Roman"/>
                <w:color w:val="222222"/>
                <w:sz w:val="22"/>
                <w:szCs w:val="22"/>
              </w:rPr>
            </w:pPr>
          </w:p>
        </w:tc>
      </w:tr>
      <w:tr w:rsidR="008848A0" w:rsidRPr="008848A0" w14:paraId="5D99B5A8"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9997B5" w14:textId="750EB339"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5DE706" w14:textId="047419CE"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74BD27" w14:textId="4714CFC9"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895145" w14:textId="01020F62"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FF7E36" w14:textId="7E46E668" w:rsidR="008848A0" w:rsidRPr="008848A0" w:rsidRDefault="008848A0" w:rsidP="008848A0">
            <w:pPr>
              <w:spacing w:after="200" w:line="330" w:lineRule="atLeast"/>
              <w:jc w:val="both"/>
              <w:rPr>
                <w:rFonts w:eastAsia="Times New Roman"/>
                <w:color w:val="222222"/>
                <w:sz w:val="22"/>
                <w:szCs w:val="22"/>
              </w:rPr>
            </w:pPr>
          </w:p>
        </w:tc>
      </w:tr>
      <w:tr w:rsidR="008848A0" w:rsidRPr="008848A0" w14:paraId="3A084F2B"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CDAD847" w14:textId="01FB7866"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A80B5D" w14:textId="34C84493"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C8B419" w14:textId="4585B046"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B1D73B" w14:textId="7247BF60"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9ADC74" w14:textId="4FFE852C" w:rsidR="008848A0" w:rsidRPr="008848A0" w:rsidRDefault="008848A0" w:rsidP="008848A0">
            <w:pPr>
              <w:spacing w:after="200" w:line="330" w:lineRule="atLeast"/>
              <w:jc w:val="both"/>
              <w:rPr>
                <w:rFonts w:eastAsia="Times New Roman"/>
                <w:color w:val="222222"/>
                <w:sz w:val="22"/>
                <w:szCs w:val="22"/>
              </w:rPr>
            </w:pPr>
          </w:p>
        </w:tc>
      </w:tr>
      <w:tr w:rsidR="008848A0" w:rsidRPr="008848A0" w14:paraId="399200A6"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BD1F65E" w14:textId="7FA904DA"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E55481" w14:textId="1A13AB8D"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E7C97B" w14:textId="61050EBF" w:rsidR="008848A0" w:rsidRPr="008848A0" w:rsidRDefault="008848A0" w:rsidP="008848A0">
            <w:pPr>
              <w:spacing w:after="200" w:line="330" w:lineRule="atLeast"/>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294DD2" w14:textId="58E840A6"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9B5ED5" w14:textId="27468EFD" w:rsidR="008848A0" w:rsidRPr="008848A0" w:rsidRDefault="008848A0" w:rsidP="008848A0">
            <w:pPr>
              <w:spacing w:after="200" w:line="330" w:lineRule="atLeast"/>
              <w:jc w:val="both"/>
              <w:rPr>
                <w:rFonts w:eastAsia="Times New Roman"/>
                <w:color w:val="222222"/>
                <w:sz w:val="22"/>
                <w:szCs w:val="22"/>
              </w:rPr>
            </w:pPr>
          </w:p>
        </w:tc>
      </w:tr>
      <w:tr w:rsidR="008848A0" w:rsidRPr="008848A0" w14:paraId="2F772CE4"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12FB008" w14:textId="7D2D2F7E"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80E093" w14:textId="47575A3A"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342DB0" w14:textId="06AD7467"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C97AF4" w14:textId="43F0C474"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7E9717" w14:textId="122C2E16" w:rsidR="008848A0" w:rsidRPr="008848A0" w:rsidRDefault="008848A0" w:rsidP="008848A0">
            <w:pPr>
              <w:spacing w:after="200" w:line="330" w:lineRule="atLeast"/>
              <w:jc w:val="both"/>
              <w:rPr>
                <w:rFonts w:eastAsia="Times New Roman"/>
                <w:color w:val="222222"/>
                <w:sz w:val="22"/>
                <w:szCs w:val="22"/>
              </w:rPr>
            </w:pPr>
          </w:p>
        </w:tc>
      </w:tr>
      <w:tr w:rsidR="008848A0" w:rsidRPr="008848A0" w14:paraId="228F84A1"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01FC7A" w14:textId="6C21FCBC"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3F790A" w14:textId="3B349AC3"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132842" w14:textId="71573FB9"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FC4B95" w14:textId="67EC5A76"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EC8AA4" w14:textId="4983FF77" w:rsidR="008848A0" w:rsidRPr="008848A0" w:rsidRDefault="008848A0" w:rsidP="008848A0">
            <w:pPr>
              <w:spacing w:after="200" w:line="330" w:lineRule="atLeast"/>
              <w:jc w:val="both"/>
              <w:rPr>
                <w:rFonts w:eastAsia="Times New Roman"/>
                <w:color w:val="222222"/>
                <w:sz w:val="22"/>
                <w:szCs w:val="22"/>
              </w:rPr>
            </w:pPr>
          </w:p>
        </w:tc>
      </w:tr>
      <w:tr w:rsidR="008848A0" w:rsidRPr="008848A0" w14:paraId="3E9633A8"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DFE02A" w14:textId="447CC7E6"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A796A2" w14:textId="1625D583"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4A8392" w14:textId="2C500D95"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A62CCB" w14:textId="14A8D715"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11166E" w14:textId="6EE9A697" w:rsidR="008848A0" w:rsidRPr="008848A0" w:rsidRDefault="008848A0" w:rsidP="008848A0">
            <w:pPr>
              <w:spacing w:after="200" w:line="330" w:lineRule="atLeast"/>
              <w:rPr>
                <w:rFonts w:eastAsia="Times New Roman"/>
                <w:color w:val="222222"/>
                <w:sz w:val="22"/>
                <w:szCs w:val="22"/>
              </w:rPr>
            </w:pPr>
          </w:p>
        </w:tc>
      </w:tr>
      <w:tr w:rsidR="008848A0" w:rsidRPr="008848A0" w14:paraId="1052C502" w14:textId="77777777" w:rsidTr="008848A0">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4888A1" w14:textId="3D97AAC6" w:rsidR="008848A0" w:rsidRPr="008848A0" w:rsidRDefault="008848A0" w:rsidP="008848A0">
            <w:pPr>
              <w:spacing w:after="200" w:line="330" w:lineRule="atLeast"/>
              <w:jc w:val="both"/>
              <w:rPr>
                <w:rFonts w:eastAsia="Times New Roman"/>
                <w:color w:val="222222"/>
                <w:sz w:val="22"/>
                <w:szCs w:val="22"/>
              </w:rPr>
            </w:pP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AE3EBD" w14:textId="438E1A67" w:rsidR="008848A0" w:rsidRPr="008848A0" w:rsidRDefault="008848A0" w:rsidP="008848A0">
            <w:pPr>
              <w:spacing w:after="200" w:line="330" w:lineRule="atLeast"/>
              <w:jc w:val="both"/>
              <w:rPr>
                <w:rFonts w:eastAsia="Times New Roman"/>
                <w:color w:val="222222"/>
                <w:sz w:val="22"/>
                <w:szCs w:val="22"/>
              </w:rPr>
            </w:pP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A99F9E" w14:textId="07CFA232" w:rsidR="008848A0" w:rsidRPr="008848A0" w:rsidRDefault="008848A0" w:rsidP="008848A0">
            <w:pPr>
              <w:spacing w:after="200" w:line="330" w:lineRule="atLeast"/>
              <w:jc w:val="both"/>
              <w:rPr>
                <w:rFonts w:eastAsia="Times New Roman"/>
                <w:color w:val="222222"/>
                <w:sz w:val="22"/>
                <w:szCs w:val="22"/>
              </w:rPr>
            </w:pPr>
          </w:p>
        </w:tc>
        <w:tc>
          <w:tcPr>
            <w:tcW w:w="1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5D4AC3" w14:textId="5F4F7F33" w:rsidR="008848A0" w:rsidRPr="008848A0" w:rsidRDefault="008848A0" w:rsidP="008848A0">
            <w:pPr>
              <w:spacing w:after="200" w:line="330" w:lineRule="atLeast"/>
              <w:jc w:val="both"/>
              <w:rPr>
                <w:rFonts w:eastAsia="Times New Roman"/>
                <w:color w:val="222222"/>
                <w:sz w:val="22"/>
                <w:szCs w:val="22"/>
              </w:rPr>
            </w:pP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09F6ED" w14:textId="020D9D12" w:rsidR="008848A0" w:rsidRPr="008848A0" w:rsidRDefault="008848A0" w:rsidP="008848A0">
            <w:pPr>
              <w:spacing w:after="200" w:line="330" w:lineRule="atLeast"/>
              <w:jc w:val="both"/>
              <w:rPr>
                <w:rFonts w:eastAsia="Times New Roman"/>
                <w:color w:val="222222"/>
                <w:sz w:val="22"/>
                <w:szCs w:val="22"/>
              </w:rPr>
            </w:pPr>
          </w:p>
        </w:tc>
      </w:tr>
    </w:tbl>
    <w:p w14:paraId="523BC742" w14:textId="77777777" w:rsidR="008848A0" w:rsidRDefault="008848A0" w:rsidP="008848A0">
      <w:pPr>
        <w:shd w:val="clear" w:color="auto" w:fill="FFFFFF"/>
        <w:spacing w:after="200" w:line="330" w:lineRule="atLeast"/>
        <w:jc w:val="both"/>
        <w:rPr>
          <w:rFonts w:ascii="Times New Roman" w:eastAsia="Times New Roman" w:hAnsi="Times New Roman" w:cs="Times New Roman"/>
          <w:color w:val="222222"/>
          <w:sz w:val="14"/>
          <w:szCs w:val="14"/>
          <w:lang w:val="en-US"/>
        </w:rPr>
      </w:pPr>
    </w:p>
    <w:p w14:paraId="216DD1E0" w14:textId="6895B488" w:rsidR="008848A0" w:rsidRPr="008848A0" w:rsidRDefault="008848A0" w:rsidP="008848A0">
      <w:p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color w:val="222222"/>
          <w:sz w:val="14"/>
          <w:szCs w:val="14"/>
          <w:lang w:val="en-US"/>
        </w:rPr>
        <w:t> </w:t>
      </w:r>
      <w:r w:rsidRPr="008848A0">
        <w:rPr>
          <w:rFonts w:ascii="Times New Roman" w:eastAsia="Times New Roman" w:hAnsi="Times New Roman" w:cs="Times New Roman"/>
          <w:color w:val="222222"/>
          <w:lang w:val="en-US"/>
        </w:rPr>
        <w:t>All slides can be freely structured. However, </w:t>
      </w:r>
      <w:r w:rsidRPr="008848A0">
        <w:rPr>
          <w:rFonts w:ascii="Times New Roman" w:eastAsia="Times New Roman" w:hAnsi="Times New Roman" w:cs="Times New Roman"/>
          <w:b/>
          <w:bCs/>
          <w:i/>
          <w:iCs/>
          <w:color w:val="222222"/>
          <w:lang w:val="en-US"/>
        </w:rPr>
        <w:t>all presentations must include a List of Reference.</w:t>
      </w:r>
    </w:p>
    <w:p w14:paraId="28EA2D6A" w14:textId="77777777" w:rsidR="008848A0" w:rsidRPr="008848A0" w:rsidRDefault="008848A0" w:rsidP="008848A0">
      <w:pPr>
        <w:pStyle w:val="ListParagraph"/>
        <w:numPr>
          <w:ilvl w:val="0"/>
          <w:numId w:val="1"/>
        </w:numPr>
        <w:shd w:val="clear" w:color="auto" w:fill="FFFFFF"/>
        <w:spacing w:after="200" w:line="330" w:lineRule="atLeast"/>
        <w:jc w:val="both"/>
        <w:rPr>
          <w:rFonts w:eastAsia="Times New Roman"/>
          <w:color w:val="222222"/>
          <w:sz w:val="22"/>
          <w:szCs w:val="22"/>
        </w:rPr>
      </w:pPr>
      <w:r w:rsidRPr="008848A0">
        <w:rPr>
          <w:rFonts w:ascii="Times New Roman" w:eastAsia="Times New Roman" w:hAnsi="Times New Roman" w:cs="Times New Roman"/>
          <w:color w:val="222222"/>
          <w:lang w:val="en-US"/>
        </w:rPr>
        <w:t>IX.</w:t>
      </w:r>
      <w:r w:rsidRPr="008848A0">
        <w:rPr>
          <w:rFonts w:ascii="Times New Roman" w:eastAsia="Times New Roman" w:hAnsi="Times New Roman" w:cs="Times New Roman"/>
          <w:color w:val="222222"/>
          <w:sz w:val="14"/>
          <w:szCs w:val="14"/>
          <w:lang w:val="en-US"/>
        </w:rPr>
        <w:t>          </w:t>
      </w:r>
      <w:r w:rsidRPr="008848A0">
        <w:rPr>
          <w:rFonts w:ascii="Times New Roman" w:eastAsia="Times New Roman" w:hAnsi="Times New Roman" w:cs="Times New Roman"/>
          <w:color w:val="222222"/>
          <w:lang w:val="en-US"/>
        </w:rPr>
        <w:t>Detailed evaluation criteria of the research article is given below:</w:t>
      </w:r>
    </w:p>
    <w:p w14:paraId="3ADCF979" w14:textId="77777777" w:rsidR="008848A0" w:rsidRPr="008848A0" w:rsidRDefault="008848A0" w:rsidP="008848A0">
      <w:pPr>
        <w:pStyle w:val="ListParagraph"/>
        <w:shd w:val="clear" w:color="auto" w:fill="FFFFFF"/>
        <w:rPr>
          <w:rFonts w:eastAsia="Times New Roman"/>
          <w:color w:val="222222"/>
          <w:sz w:val="22"/>
          <w:szCs w:val="22"/>
        </w:rPr>
      </w:pPr>
      <w:r w:rsidRPr="008848A0">
        <w:rPr>
          <w:rFonts w:ascii="Times New Roman" w:eastAsia="Times New Roman" w:hAnsi="Times New Roman" w:cs="Times New Roman"/>
          <w:color w:val="222222"/>
          <w:lang w:val="en-US"/>
        </w:rPr>
        <w:t> </w:t>
      </w:r>
    </w:p>
    <w:tbl>
      <w:tblPr>
        <w:tblW w:w="0" w:type="auto"/>
        <w:jc w:val="center"/>
        <w:tblCellMar>
          <w:left w:w="0" w:type="dxa"/>
          <w:right w:w="0" w:type="dxa"/>
        </w:tblCellMar>
        <w:tblLook w:val="04A0" w:firstRow="1" w:lastRow="0" w:firstColumn="1" w:lastColumn="0" w:noHBand="0" w:noVBand="1"/>
      </w:tblPr>
      <w:tblGrid>
        <w:gridCol w:w="988"/>
        <w:gridCol w:w="6662"/>
        <w:gridCol w:w="1296"/>
      </w:tblGrid>
      <w:tr w:rsidR="008848A0" w:rsidRPr="008848A0" w14:paraId="30509618" w14:textId="77777777" w:rsidTr="008848A0">
        <w:trPr>
          <w:jc w:val="center"/>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B791D"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 </w:t>
            </w:r>
            <w:r w:rsidRPr="008848A0">
              <w:rPr>
                <w:rFonts w:ascii="Times New Roman" w:eastAsia="Times New Roman" w:hAnsi="Times New Roman" w:cs="Times New Roman"/>
                <w:b/>
                <w:bCs/>
                <w:lang w:val="en-US"/>
              </w:rPr>
              <w:t>Sl. No.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2256D"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b/>
                <w:bCs/>
                <w:lang w:val="en-US"/>
              </w:rPr>
              <w:t>Criteria</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2A2E9"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b/>
                <w:bCs/>
                <w:lang w:val="en-US"/>
              </w:rPr>
              <w:t>Marks</w:t>
            </w:r>
          </w:p>
        </w:tc>
      </w:tr>
      <w:tr w:rsidR="008848A0" w:rsidRPr="008848A0" w14:paraId="490B5C9B" w14:textId="77777777" w:rsidTr="008848A0">
        <w:trPr>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ADB35"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5D8347B"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Depth of Research</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42621D50" w14:textId="5A58007F" w:rsidR="008848A0" w:rsidRPr="008848A0" w:rsidRDefault="008848A0" w:rsidP="008848A0">
            <w:pPr>
              <w:spacing w:after="200" w:line="253" w:lineRule="atLeast"/>
              <w:jc w:val="center"/>
              <w:rPr>
                <w:rFonts w:eastAsia="Times New Roman"/>
                <w:sz w:val="22"/>
                <w:szCs w:val="22"/>
              </w:rPr>
            </w:pPr>
          </w:p>
        </w:tc>
      </w:tr>
      <w:tr w:rsidR="008848A0" w:rsidRPr="008848A0" w14:paraId="4AEE870D" w14:textId="77777777" w:rsidTr="008848A0">
        <w:trPr>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C7847"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1CF310F"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Quality of Analysis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7499CA30" w14:textId="7D17F9F3" w:rsidR="008848A0" w:rsidRPr="008848A0" w:rsidRDefault="008848A0" w:rsidP="008848A0">
            <w:pPr>
              <w:spacing w:after="200" w:line="253" w:lineRule="atLeast"/>
              <w:jc w:val="center"/>
              <w:rPr>
                <w:rFonts w:eastAsia="Times New Roman"/>
                <w:sz w:val="22"/>
                <w:szCs w:val="22"/>
              </w:rPr>
            </w:pPr>
          </w:p>
        </w:tc>
      </w:tr>
      <w:tr w:rsidR="008848A0" w:rsidRPr="008848A0" w14:paraId="1AC0CDCD" w14:textId="77777777" w:rsidTr="008848A0">
        <w:trPr>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FE20D"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4B4FEEE1"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 xml:space="preserve">Innovation in Approaches to Presentation, engaging the class, use of innovative teaching aids </w:t>
            </w:r>
            <w:proofErr w:type="spellStart"/>
            <w:r w:rsidRPr="008848A0">
              <w:rPr>
                <w:rFonts w:ascii="Times New Roman" w:eastAsia="Times New Roman" w:hAnsi="Times New Roman" w:cs="Times New Roman"/>
                <w:lang w:val="en-US"/>
              </w:rPr>
              <w:t>etc</w:t>
            </w:r>
            <w:proofErr w:type="spellEnd"/>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548C05A1" w14:textId="1BDCDC1C" w:rsidR="008848A0" w:rsidRPr="008848A0" w:rsidRDefault="008848A0" w:rsidP="008848A0">
            <w:pPr>
              <w:spacing w:after="200" w:line="253" w:lineRule="atLeast"/>
              <w:jc w:val="center"/>
              <w:rPr>
                <w:rFonts w:eastAsia="Times New Roman"/>
                <w:sz w:val="22"/>
                <w:szCs w:val="22"/>
              </w:rPr>
            </w:pPr>
          </w:p>
        </w:tc>
      </w:tr>
      <w:tr w:rsidR="008848A0" w:rsidRPr="008848A0" w14:paraId="58CA9D31" w14:textId="77777777" w:rsidTr="008848A0">
        <w:trPr>
          <w:trHeight w:val="402"/>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402EB"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C10DC38"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Quality of References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6DDD2B14" w14:textId="02F4E954" w:rsidR="008848A0" w:rsidRPr="008848A0" w:rsidRDefault="008848A0" w:rsidP="008848A0">
            <w:pPr>
              <w:spacing w:after="200" w:line="253" w:lineRule="atLeast"/>
              <w:jc w:val="center"/>
              <w:rPr>
                <w:rFonts w:eastAsia="Times New Roman"/>
                <w:sz w:val="22"/>
                <w:szCs w:val="22"/>
              </w:rPr>
            </w:pPr>
          </w:p>
        </w:tc>
      </w:tr>
      <w:tr w:rsidR="008848A0" w:rsidRPr="008848A0" w14:paraId="0472098B" w14:textId="77777777" w:rsidTr="008848A0">
        <w:trPr>
          <w:trHeight w:val="402"/>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D559D"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4CA48B1"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Response to Questions</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3F53946E" w14:textId="08A7F61D" w:rsidR="008848A0" w:rsidRPr="008848A0" w:rsidRDefault="008848A0" w:rsidP="008848A0">
            <w:pPr>
              <w:spacing w:after="200" w:line="253" w:lineRule="atLeast"/>
              <w:jc w:val="center"/>
              <w:rPr>
                <w:rFonts w:eastAsia="Times New Roman"/>
                <w:sz w:val="22"/>
                <w:szCs w:val="22"/>
              </w:rPr>
            </w:pPr>
          </w:p>
        </w:tc>
      </w:tr>
      <w:tr w:rsidR="008848A0" w:rsidRPr="008848A0" w14:paraId="63A64AFD" w14:textId="77777777" w:rsidTr="008848A0">
        <w:trPr>
          <w:trHeight w:val="402"/>
          <w:jc w:val="center"/>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4DB36" w14:textId="77777777" w:rsidR="008848A0" w:rsidRPr="008848A0" w:rsidRDefault="008848A0" w:rsidP="008848A0">
            <w:pPr>
              <w:spacing w:after="200" w:line="253" w:lineRule="atLeast"/>
              <w:jc w:val="center"/>
              <w:rPr>
                <w:rFonts w:eastAsia="Times New Roman"/>
                <w:sz w:val="22"/>
                <w:szCs w:val="22"/>
              </w:rPr>
            </w:pPr>
            <w:r w:rsidRPr="008848A0">
              <w:rPr>
                <w:rFonts w:ascii="Times New Roman" w:eastAsia="Times New Roman" w:hAnsi="Times New Roman" w:cs="Times New Roman"/>
                <w:lang w:val="en-US"/>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57BA658E" w14:textId="77777777" w:rsidR="008848A0" w:rsidRPr="008848A0" w:rsidRDefault="008848A0" w:rsidP="008848A0">
            <w:pPr>
              <w:spacing w:after="200" w:line="253" w:lineRule="atLeast"/>
              <w:jc w:val="both"/>
              <w:rPr>
                <w:rFonts w:eastAsia="Times New Roman"/>
                <w:sz w:val="22"/>
                <w:szCs w:val="22"/>
              </w:rPr>
            </w:pPr>
            <w:r w:rsidRPr="008848A0">
              <w:rPr>
                <w:rFonts w:ascii="Times New Roman" w:eastAsia="Times New Roman" w:hAnsi="Times New Roman" w:cs="Times New Roman"/>
                <w:lang w:val="en-US"/>
              </w:rPr>
              <w:t>Performance as a Moderator (to be evaluated on the basis of contribution to the discussion &amp; ability to engage others in the discussion</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24D6E89B" w14:textId="2E996BAA" w:rsidR="008848A0" w:rsidRPr="008848A0" w:rsidRDefault="008848A0" w:rsidP="008848A0">
            <w:pPr>
              <w:spacing w:after="200" w:line="253" w:lineRule="atLeast"/>
              <w:jc w:val="center"/>
              <w:rPr>
                <w:rFonts w:eastAsia="Times New Roman"/>
                <w:sz w:val="22"/>
                <w:szCs w:val="22"/>
              </w:rPr>
            </w:pPr>
          </w:p>
        </w:tc>
      </w:tr>
      <w:tr w:rsidR="008848A0" w:rsidRPr="008848A0" w14:paraId="0878F9EA" w14:textId="77777777" w:rsidTr="008848A0">
        <w:trPr>
          <w:trHeight w:val="402"/>
          <w:jc w:val="center"/>
        </w:trPr>
        <w:tc>
          <w:tcPr>
            <w:tcW w:w="76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AD17" w14:textId="77777777" w:rsidR="008848A0" w:rsidRPr="008848A0" w:rsidRDefault="008848A0" w:rsidP="008848A0">
            <w:pPr>
              <w:spacing w:before="240" w:after="200" w:line="253" w:lineRule="atLeast"/>
              <w:jc w:val="both"/>
              <w:rPr>
                <w:rFonts w:eastAsia="Times New Roman"/>
                <w:sz w:val="22"/>
                <w:szCs w:val="22"/>
              </w:rPr>
            </w:pPr>
            <w:r w:rsidRPr="008848A0">
              <w:rPr>
                <w:rFonts w:ascii="Times New Roman" w:eastAsia="Times New Roman" w:hAnsi="Times New Roman" w:cs="Times New Roman"/>
                <w:b/>
                <w:bCs/>
                <w:lang w:val="en-US"/>
              </w:rPr>
              <w:t>Total</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14:paraId="3ED83BC0" w14:textId="54493625" w:rsidR="008848A0" w:rsidRPr="008848A0" w:rsidRDefault="008848A0" w:rsidP="008848A0">
            <w:pPr>
              <w:spacing w:before="240" w:after="200" w:line="253" w:lineRule="atLeast"/>
              <w:ind w:left="117"/>
              <w:jc w:val="center"/>
              <w:rPr>
                <w:rFonts w:eastAsia="Times New Roman"/>
                <w:sz w:val="22"/>
                <w:szCs w:val="22"/>
              </w:rPr>
            </w:pPr>
          </w:p>
        </w:tc>
      </w:tr>
    </w:tbl>
    <w:p w14:paraId="2FF75E0A" w14:textId="77777777" w:rsidR="00A52940" w:rsidRDefault="00A52940">
      <w:pPr>
        <w:rPr>
          <w:rFonts w:ascii="Times New Roman" w:eastAsia="Times New Roman" w:hAnsi="Times New Roman" w:cs="Times New Roman"/>
        </w:rPr>
      </w:pPr>
    </w:p>
    <w:p w14:paraId="3FDF7189" w14:textId="77777777" w:rsidR="00A52940" w:rsidRDefault="00A52940">
      <w:pPr>
        <w:spacing w:after="240"/>
        <w:jc w:val="center"/>
        <w:rPr>
          <w:rFonts w:ascii="Times New Roman" w:eastAsia="Times New Roman" w:hAnsi="Times New Roman" w:cs="Times New Roman"/>
          <w:color w:val="000000"/>
        </w:rPr>
      </w:pPr>
    </w:p>
    <w:p w14:paraId="7A136EAE" w14:textId="77777777" w:rsidR="00A52940" w:rsidRDefault="00A52940">
      <w:pPr>
        <w:spacing w:after="240"/>
        <w:jc w:val="center"/>
        <w:rPr>
          <w:rFonts w:ascii="Times New Roman" w:eastAsia="Times New Roman" w:hAnsi="Times New Roman" w:cs="Times New Roman"/>
          <w:color w:val="000000"/>
        </w:rPr>
      </w:pPr>
    </w:p>
    <w:p w14:paraId="568A0837" w14:textId="77777777" w:rsidR="00A52940" w:rsidRDefault="00A52940">
      <w:pPr>
        <w:spacing w:after="240"/>
        <w:jc w:val="center"/>
        <w:rPr>
          <w:rFonts w:ascii="Times New Roman" w:eastAsia="Times New Roman" w:hAnsi="Times New Roman" w:cs="Times New Roman"/>
          <w:color w:val="000000"/>
        </w:rPr>
      </w:pPr>
    </w:p>
    <w:p w14:paraId="0869FB54" w14:textId="77777777" w:rsidR="00A52940" w:rsidRDefault="00A52940">
      <w:pPr>
        <w:spacing w:after="240"/>
        <w:jc w:val="center"/>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8393" w14:textId="77777777" w:rsidR="00A57E1A" w:rsidRDefault="00A57E1A">
      <w:r>
        <w:separator/>
      </w:r>
    </w:p>
  </w:endnote>
  <w:endnote w:type="continuationSeparator" w:id="0">
    <w:p w14:paraId="7B192F89" w14:textId="77777777" w:rsidR="00A57E1A" w:rsidRDefault="00A5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ED6C" w14:textId="77777777" w:rsidR="00A57E1A" w:rsidRDefault="00A57E1A">
      <w:r>
        <w:separator/>
      </w:r>
    </w:p>
  </w:footnote>
  <w:footnote w:type="continuationSeparator" w:id="0">
    <w:p w14:paraId="545529D2" w14:textId="77777777" w:rsidR="00A57E1A" w:rsidRDefault="00A5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818802">
    <w:abstractNumId w:val="0"/>
  </w:num>
  <w:num w:numId="2" w16cid:durableId="152281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2671F5"/>
    <w:rsid w:val="00382568"/>
    <w:rsid w:val="005A1D01"/>
    <w:rsid w:val="007C047E"/>
    <w:rsid w:val="008848A0"/>
    <w:rsid w:val="00A52940"/>
    <w:rsid w:val="00A57E1A"/>
    <w:rsid w:val="00A739AF"/>
    <w:rsid w:val="00BA1DA6"/>
    <w:rsid w:val="00C350F1"/>
    <w:rsid w:val="00D57DEB"/>
    <w:rsid w:val="00EE7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 w:type="character" w:customStyle="1" w:styleId="il">
    <w:name w:val="il"/>
    <w:basedOn w:val="DefaultParagraphFont"/>
    <w:rsid w:val="0088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2024-04-01T08:27:00Z</dcterms:created>
  <dcterms:modified xsi:type="dcterms:W3CDTF">2024-04-01T08:27:00Z</dcterms:modified>
</cp:coreProperties>
</file>