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E0D50" w14:textId="77777777" w:rsidR="001B26DD" w:rsidRPr="00CA7CEA" w:rsidRDefault="001B26DD" w:rsidP="001B26DD">
      <w:pPr>
        <w:spacing w:before="160"/>
        <w:jc w:val="center"/>
        <w:rPr>
          <w:rFonts w:ascii="Arial" w:eastAsia="Century Gothic" w:hAnsi="Arial" w:cs="Arial"/>
          <w:b/>
          <w:color w:val="003399"/>
        </w:rPr>
      </w:pPr>
      <w:r w:rsidRPr="00CA7CEA">
        <w:rPr>
          <w:rFonts w:ascii="Arial" w:eastAsia="Century Gothic" w:hAnsi="Arial" w:cs="Arial"/>
          <w:b/>
          <w:color w:val="003399"/>
        </w:rPr>
        <w:t>CCP-LAW</w:t>
      </w:r>
    </w:p>
    <w:p w14:paraId="0CC16EA3" w14:textId="77777777" w:rsidR="001B26DD" w:rsidRPr="00CA7CEA" w:rsidRDefault="001B26DD" w:rsidP="001B26DD">
      <w:pPr>
        <w:spacing w:before="160"/>
        <w:jc w:val="center"/>
        <w:rPr>
          <w:rFonts w:ascii="Arial" w:eastAsia="Century Gothic" w:hAnsi="Arial" w:cs="Arial"/>
          <w:b/>
          <w:color w:val="003399"/>
        </w:rPr>
      </w:pPr>
      <w:r w:rsidRPr="00CA7CEA">
        <w:rPr>
          <w:rFonts w:ascii="Arial" w:eastAsia="Century Gothic" w:hAnsi="Arial" w:cs="Arial"/>
          <w:b/>
          <w:color w:val="003399"/>
        </w:rPr>
        <w:t>Curricula development on Climate Change Policy and Law</w:t>
      </w:r>
    </w:p>
    <w:p w14:paraId="73BE1C02" w14:textId="77777777" w:rsidR="001B26DD" w:rsidRPr="00CA7CEA" w:rsidRDefault="001B26DD" w:rsidP="001B26DD">
      <w:pPr>
        <w:spacing w:before="160"/>
        <w:rPr>
          <w:rFonts w:ascii="Arial" w:eastAsia="Century Gothic" w:hAnsi="Arial" w:cs="Arial"/>
          <w:b/>
          <w:color w:val="003399"/>
        </w:rPr>
      </w:pPr>
    </w:p>
    <w:p w14:paraId="5F456CCA" w14:textId="77777777" w:rsidR="001B26DD" w:rsidRPr="00CA7CEA" w:rsidRDefault="001B26DD" w:rsidP="001B26DD">
      <w:pPr>
        <w:spacing w:before="160"/>
        <w:rPr>
          <w:rFonts w:ascii="Arial" w:eastAsia="Times New Roman" w:hAnsi="Arial" w:cs="Arial"/>
          <w:color w:val="000000"/>
          <w:sz w:val="11"/>
          <w:szCs w:val="11"/>
        </w:rPr>
      </w:pPr>
      <w:r w:rsidRPr="00CA7CEA">
        <w:rPr>
          <w:rFonts w:ascii="Arial" w:eastAsia="Century Gothic" w:hAnsi="Arial" w:cs="Arial"/>
          <w:b/>
          <w:color w:val="003399"/>
        </w:rPr>
        <w:t>Subject title: International Environmental and Climate Change Law</w:t>
      </w:r>
    </w:p>
    <w:p w14:paraId="056B692A" w14:textId="63359CC7" w:rsidR="001B26DD" w:rsidRPr="00CA7CEA" w:rsidRDefault="001B26DD" w:rsidP="001B26DD">
      <w:pPr>
        <w:spacing w:before="320" w:after="160"/>
        <w:rPr>
          <w:rFonts w:ascii="Arial" w:eastAsia="Century Gothic" w:hAnsi="Arial" w:cs="Arial"/>
          <w:b/>
          <w:color w:val="003399"/>
          <w:sz w:val="20"/>
          <w:szCs w:val="20"/>
        </w:rPr>
      </w:pPr>
      <w:r w:rsidRPr="00CA7CEA">
        <w:rPr>
          <w:rFonts w:ascii="Arial" w:eastAsia="Century Gothic" w:hAnsi="Arial" w:cs="Arial"/>
          <w:b/>
          <w:color w:val="003399"/>
          <w:sz w:val="20"/>
          <w:szCs w:val="20"/>
        </w:rPr>
        <w:t xml:space="preserve">Instructor Name: </w:t>
      </w:r>
      <w:r w:rsidR="00B02D00">
        <w:rPr>
          <w:rFonts w:ascii="Arial" w:eastAsia="Century Gothic" w:hAnsi="Arial" w:cs="Arial"/>
          <w:b/>
          <w:color w:val="003399"/>
          <w:sz w:val="20"/>
          <w:szCs w:val="20"/>
        </w:rPr>
        <w:t xml:space="preserve">Dr Shashikala </w:t>
      </w:r>
      <w:proofErr w:type="spellStart"/>
      <w:r w:rsidR="00B02D00">
        <w:rPr>
          <w:rFonts w:ascii="Arial" w:eastAsia="Century Gothic" w:hAnsi="Arial" w:cs="Arial"/>
          <w:b/>
          <w:color w:val="003399"/>
          <w:sz w:val="20"/>
          <w:szCs w:val="20"/>
        </w:rPr>
        <w:t>Gurpur</w:t>
      </w:r>
      <w:proofErr w:type="spellEnd"/>
      <w:r w:rsidR="00B02D00">
        <w:rPr>
          <w:rFonts w:ascii="Arial" w:eastAsia="Century Gothic" w:hAnsi="Arial" w:cs="Arial"/>
          <w:b/>
          <w:color w:val="003399"/>
          <w:sz w:val="20"/>
          <w:szCs w:val="20"/>
        </w:rPr>
        <w:t xml:space="preserve">, </w:t>
      </w:r>
      <w:proofErr w:type="spellStart"/>
      <w:r w:rsidRPr="00CA7CEA">
        <w:rPr>
          <w:rFonts w:ascii="Arial" w:eastAsia="Century Gothic" w:hAnsi="Arial" w:cs="Arial"/>
          <w:b/>
          <w:color w:val="003399"/>
          <w:sz w:val="20"/>
          <w:szCs w:val="20"/>
        </w:rPr>
        <w:t>Dr.</w:t>
      </w:r>
      <w:proofErr w:type="spellEnd"/>
      <w:r w:rsidRPr="00CA7CEA">
        <w:rPr>
          <w:rFonts w:ascii="Arial" w:eastAsia="Century Gothic" w:hAnsi="Arial" w:cs="Arial"/>
          <w:b/>
          <w:color w:val="003399"/>
          <w:sz w:val="20"/>
          <w:szCs w:val="20"/>
        </w:rPr>
        <w:t xml:space="preserve"> Sujata Arya</w:t>
      </w:r>
    </w:p>
    <w:p w14:paraId="04AE1354" w14:textId="73A28405" w:rsidR="001B26DD" w:rsidRPr="00CA7CEA" w:rsidRDefault="001B26DD" w:rsidP="001B26DD">
      <w:pPr>
        <w:spacing w:before="320" w:after="160"/>
        <w:jc w:val="center"/>
        <w:rPr>
          <w:rFonts w:ascii="Arial" w:eastAsia="Century Gothic" w:hAnsi="Arial" w:cs="Arial"/>
          <w:b/>
          <w:color w:val="003399"/>
          <w:sz w:val="20"/>
          <w:szCs w:val="20"/>
        </w:rPr>
      </w:pPr>
      <w:r w:rsidRPr="00CA7CEA">
        <w:rPr>
          <w:rFonts w:ascii="Arial" w:eastAsia="Century Gothic" w:hAnsi="Arial" w:cs="Arial"/>
          <w:b/>
          <w:color w:val="003399"/>
          <w:sz w:val="20"/>
          <w:szCs w:val="20"/>
        </w:rPr>
        <w:t xml:space="preserve">Activity: </w:t>
      </w:r>
      <w:r w:rsidR="00B02D00">
        <w:rPr>
          <w:rFonts w:ascii="Arial" w:eastAsia="Century Gothic" w:hAnsi="Arial" w:cs="Arial"/>
          <w:b/>
          <w:color w:val="003399"/>
          <w:sz w:val="20"/>
          <w:szCs w:val="20"/>
        </w:rPr>
        <w:t>IRAC Analysis and Comparative Analysis</w:t>
      </w:r>
    </w:p>
    <w:p w14:paraId="364B8DCF" w14:textId="170F6A0F" w:rsidR="00CA7CEA" w:rsidRPr="00CA7CEA" w:rsidRDefault="00CA7CEA" w:rsidP="00CA7CEA">
      <w:pPr>
        <w:spacing w:before="320" w:after="160"/>
        <w:rPr>
          <w:rFonts w:ascii="Arial" w:eastAsia="Century Gothic" w:hAnsi="Arial" w:cs="Arial"/>
          <w:sz w:val="20"/>
          <w:szCs w:val="20"/>
          <w:lang w:val="en-US"/>
        </w:rPr>
      </w:pPr>
      <w:r w:rsidRPr="00CA7CEA">
        <w:rPr>
          <w:rFonts w:ascii="Arial" w:eastAsia="Century Gothic" w:hAnsi="Arial" w:cs="Arial"/>
          <w:b/>
          <w:bCs/>
          <w:color w:val="003399"/>
          <w:sz w:val="20"/>
          <w:szCs w:val="20"/>
          <w:lang w:val="en-US"/>
        </w:rPr>
        <w:br/>
      </w:r>
      <w:r w:rsidRPr="00CA7CEA">
        <w:rPr>
          <w:rFonts w:ascii="Arial" w:eastAsia="Century Gothic" w:hAnsi="Arial" w:cs="Arial"/>
          <w:b/>
          <w:bCs/>
          <w:sz w:val="20"/>
          <w:szCs w:val="20"/>
          <w:lang w:val="en-US"/>
        </w:rPr>
        <w:t>Assignment Title</w:t>
      </w:r>
      <w:r w:rsidRPr="00CA7CEA">
        <w:rPr>
          <w:rFonts w:ascii="Arial" w:eastAsia="Century Gothic" w:hAnsi="Arial" w:cs="Arial"/>
          <w:sz w:val="20"/>
          <w:szCs w:val="20"/>
          <w:lang w:val="en-US"/>
        </w:rPr>
        <w:t xml:space="preserve">: </w:t>
      </w:r>
      <w:r w:rsidR="00B02D00">
        <w:rPr>
          <w:rFonts w:ascii="Arial" w:eastAsia="Century Gothic" w:hAnsi="Arial" w:cs="Arial"/>
          <w:sz w:val="20"/>
          <w:szCs w:val="20"/>
          <w:lang w:val="en-US"/>
        </w:rPr>
        <w:t>IRAC Analysis and Comparative Analysis of Judgements</w:t>
      </w:r>
    </w:p>
    <w:p w14:paraId="0B8C120C" w14:textId="7EE5795D" w:rsidR="00CA7CEA" w:rsidRPr="00CA7CEA" w:rsidRDefault="00CA7CEA" w:rsidP="00CA7CEA">
      <w:pPr>
        <w:spacing w:before="320" w:after="160"/>
        <w:rPr>
          <w:rFonts w:ascii="Arial" w:eastAsia="Century Gothic" w:hAnsi="Arial" w:cs="Arial"/>
          <w:sz w:val="20"/>
          <w:szCs w:val="20"/>
          <w:lang w:val="en-US"/>
        </w:rPr>
      </w:pPr>
      <w:r w:rsidRPr="00CA7CEA">
        <w:rPr>
          <w:rFonts w:ascii="Arial" w:eastAsia="Century Gothic" w:hAnsi="Arial" w:cs="Arial"/>
          <w:b/>
          <w:bCs/>
          <w:sz w:val="20"/>
          <w:szCs w:val="20"/>
          <w:lang w:val="en-US"/>
        </w:rPr>
        <w:t>Introduction</w:t>
      </w:r>
      <w:r w:rsidRPr="00CA7CEA">
        <w:rPr>
          <w:rFonts w:ascii="Arial" w:eastAsia="Century Gothic" w:hAnsi="Arial" w:cs="Arial"/>
          <w:sz w:val="20"/>
          <w:szCs w:val="20"/>
          <w:lang w:val="en-US"/>
        </w:rPr>
        <w:t xml:space="preserve">: This activity focuses on </w:t>
      </w:r>
      <w:r w:rsidR="00B02D00">
        <w:rPr>
          <w:rFonts w:ascii="Arial" w:eastAsia="Century Gothic" w:hAnsi="Arial" w:cs="Arial"/>
          <w:sz w:val="20"/>
          <w:szCs w:val="20"/>
          <w:lang w:val="en-US"/>
        </w:rPr>
        <w:t>analyzing recent Judgements passed by the European Court and Indian Courts.</w:t>
      </w:r>
    </w:p>
    <w:p w14:paraId="3A13C910" w14:textId="47C705D2" w:rsidR="00B02D00" w:rsidRPr="00B02D00" w:rsidRDefault="00CA7CEA" w:rsidP="00B02D00">
      <w:pPr>
        <w:spacing w:before="320" w:after="160"/>
        <w:rPr>
          <w:rFonts w:ascii="Arial" w:eastAsia="Century Gothic" w:hAnsi="Arial" w:cs="Arial"/>
          <w:b/>
          <w:bCs/>
          <w:sz w:val="20"/>
          <w:szCs w:val="20"/>
          <w:lang w:val="en-US"/>
        </w:rPr>
      </w:pPr>
      <w:r w:rsidRPr="00CA7CEA">
        <w:rPr>
          <w:rFonts w:ascii="Arial" w:eastAsia="Century Gothic" w:hAnsi="Arial" w:cs="Arial"/>
          <w:b/>
          <w:bCs/>
          <w:sz w:val="20"/>
          <w:szCs w:val="20"/>
          <w:lang w:val="en-US"/>
        </w:rPr>
        <w:t>Objectives:</w:t>
      </w:r>
    </w:p>
    <w:p w14:paraId="24153990" w14:textId="5435E727" w:rsidR="00B02D00" w:rsidRPr="00B02D00" w:rsidRDefault="00B02D00" w:rsidP="00B02D00">
      <w:pPr>
        <w:pStyle w:val="ListParagraph"/>
        <w:numPr>
          <w:ilvl w:val="0"/>
          <w:numId w:val="4"/>
        </w:numPr>
        <w:spacing w:before="320" w:after="160" w:line="360" w:lineRule="auto"/>
        <w:rPr>
          <w:rFonts w:ascii="Arial" w:eastAsia="Century Gothic" w:hAnsi="Arial" w:cs="Arial"/>
          <w:bCs/>
          <w:sz w:val="20"/>
          <w:szCs w:val="20"/>
          <w:lang w:val="en-US"/>
        </w:rPr>
      </w:pPr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>To enhance students' understanding of recent judgments passed by the European Court of Human Rights and Indian Courts.</w:t>
      </w:r>
    </w:p>
    <w:p w14:paraId="5D4E1F7B" w14:textId="088E1EA6" w:rsidR="00B02D00" w:rsidRPr="00B02D00" w:rsidRDefault="00B02D00" w:rsidP="00B02D00">
      <w:pPr>
        <w:pStyle w:val="ListParagraph"/>
        <w:numPr>
          <w:ilvl w:val="0"/>
          <w:numId w:val="4"/>
        </w:numPr>
        <w:spacing w:before="320" w:after="160" w:line="360" w:lineRule="auto"/>
        <w:rPr>
          <w:rFonts w:ascii="Arial" w:eastAsia="Century Gothic" w:hAnsi="Arial" w:cs="Arial"/>
          <w:bCs/>
          <w:sz w:val="20"/>
          <w:szCs w:val="20"/>
          <w:lang w:val="en-US"/>
        </w:rPr>
      </w:pPr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>To develop students' analytical skills in applying the IRAC (Issue, Rule, Analysis, Conclusion) method to legal case analysis.</w:t>
      </w:r>
    </w:p>
    <w:p w14:paraId="191A872E" w14:textId="3E719293" w:rsidR="00B02D00" w:rsidRPr="00B02D00" w:rsidRDefault="00B02D00" w:rsidP="00B02D00">
      <w:pPr>
        <w:pStyle w:val="ListParagraph"/>
        <w:numPr>
          <w:ilvl w:val="0"/>
          <w:numId w:val="4"/>
        </w:numPr>
        <w:spacing w:before="320" w:after="160" w:line="360" w:lineRule="auto"/>
        <w:rPr>
          <w:rFonts w:ascii="Arial" w:eastAsia="Century Gothic" w:hAnsi="Arial" w:cs="Arial"/>
          <w:bCs/>
          <w:sz w:val="20"/>
          <w:szCs w:val="20"/>
          <w:lang w:val="en-US"/>
        </w:rPr>
      </w:pPr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>To encourage critical thinking and comparative analysis of legal principles and decisions across different jurisdictions.</w:t>
      </w:r>
    </w:p>
    <w:p w14:paraId="29C0ACDB" w14:textId="006F6F60" w:rsidR="00B02D00" w:rsidRPr="00B02D00" w:rsidRDefault="00B02D00" w:rsidP="00B02D00">
      <w:pPr>
        <w:pStyle w:val="ListParagraph"/>
        <w:numPr>
          <w:ilvl w:val="0"/>
          <w:numId w:val="4"/>
        </w:numPr>
        <w:spacing w:before="320" w:after="160" w:line="360" w:lineRule="auto"/>
        <w:rPr>
          <w:rFonts w:ascii="Arial" w:eastAsia="Century Gothic" w:hAnsi="Arial" w:cs="Arial"/>
          <w:bCs/>
          <w:sz w:val="20"/>
          <w:szCs w:val="20"/>
          <w:lang w:val="en-US"/>
        </w:rPr>
      </w:pPr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>To strengthen students' ability to articulate legal arguments and conclusions based on relevant laws and precedents.</w:t>
      </w:r>
    </w:p>
    <w:p w14:paraId="18DA7976" w14:textId="2374E1E5" w:rsidR="00B02D00" w:rsidRPr="00B02D00" w:rsidRDefault="00B02D00" w:rsidP="00B02D00">
      <w:pPr>
        <w:spacing w:before="320" w:after="160" w:line="360" w:lineRule="auto"/>
        <w:rPr>
          <w:rFonts w:ascii="Arial" w:eastAsia="Century Gothic" w:hAnsi="Arial" w:cs="Arial"/>
          <w:b/>
          <w:sz w:val="20"/>
          <w:szCs w:val="20"/>
          <w:lang w:val="en-US"/>
        </w:rPr>
      </w:pPr>
      <w:r w:rsidRPr="00B02D00">
        <w:rPr>
          <w:rFonts w:ascii="Arial" w:eastAsia="Century Gothic" w:hAnsi="Arial" w:cs="Arial"/>
          <w:b/>
          <w:sz w:val="20"/>
          <w:szCs w:val="20"/>
          <w:lang w:val="en-US"/>
        </w:rPr>
        <w:t>Instructions:</w:t>
      </w:r>
    </w:p>
    <w:p w14:paraId="2B6F7269" w14:textId="577BF748" w:rsidR="00B02D00" w:rsidRDefault="00B02D00" w:rsidP="00B02D00">
      <w:pPr>
        <w:pStyle w:val="ListParagraph"/>
        <w:numPr>
          <w:ilvl w:val="0"/>
          <w:numId w:val="5"/>
        </w:numPr>
        <w:spacing w:before="320" w:after="160" w:line="360" w:lineRule="auto"/>
        <w:rPr>
          <w:rFonts w:ascii="Arial" w:eastAsia="Century Gothic" w:hAnsi="Arial" w:cs="Arial"/>
          <w:bCs/>
          <w:sz w:val="20"/>
          <w:szCs w:val="20"/>
          <w:lang w:val="en-US"/>
        </w:rPr>
      </w:pPr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 xml:space="preserve">Select one of the four mentioned judgments for analysis: Verein </w:t>
      </w:r>
      <w:proofErr w:type="spellStart"/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>KlimaSeniorinnen</w:t>
      </w:r>
      <w:proofErr w:type="spellEnd"/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 xml:space="preserve"> Schweiz and Others v. Switzerland, Portuguese Youth v. 32 European Countries, Carême v France, or M K Ranjitsinh &amp; </w:t>
      </w:r>
      <w:proofErr w:type="spellStart"/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>Ors</w:t>
      </w:r>
      <w:proofErr w:type="spellEnd"/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 xml:space="preserve">. Versus Union of India &amp; </w:t>
      </w:r>
      <w:proofErr w:type="spellStart"/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>Ors</w:t>
      </w:r>
      <w:proofErr w:type="spellEnd"/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>.</w:t>
      </w:r>
      <w:r>
        <w:rPr>
          <w:rFonts w:ascii="Arial" w:eastAsia="Century Gothic" w:hAnsi="Arial" w:cs="Arial"/>
          <w:bCs/>
          <w:sz w:val="20"/>
          <w:szCs w:val="20"/>
          <w:lang w:val="en-US"/>
        </w:rPr>
        <w:t xml:space="preserve"> </w:t>
      </w:r>
    </w:p>
    <w:p w14:paraId="7423E8E0" w14:textId="3877569E" w:rsidR="00B02D00" w:rsidRPr="00B02D00" w:rsidRDefault="00B02D00" w:rsidP="00B02D00">
      <w:pPr>
        <w:pStyle w:val="ListParagraph"/>
        <w:numPr>
          <w:ilvl w:val="0"/>
          <w:numId w:val="5"/>
        </w:numPr>
        <w:spacing w:before="320" w:after="160" w:line="360" w:lineRule="auto"/>
        <w:rPr>
          <w:rFonts w:ascii="Arial" w:eastAsia="Century Gothic" w:hAnsi="Arial" w:cs="Arial"/>
          <w:bCs/>
          <w:sz w:val="20"/>
          <w:szCs w:val="20"/>
          <w:lang w:val="en-US"/>
        </w:rPr>
      </w:pPr>
      <w:r>
        <w:rPr>
          <w:rFonts w:ascii="Arial" w:eastAsia="Century Gothic" w:hAnsi="Arial" w:cs="Arial"/>
          <w:bCs/>
          <w:sz w:val="20"/>
          <w:szCs w:val="20"/>
          <w:lang w:val="en-US"/>
        </w:rPr>
        <w:t>The judgements are provided as reading materials.</w:t>
      </w:r>
    </w:p>
    <w:p w14:paraId="4CAB7618" w14:textId="77777777" w:rsidR="00B02D00" w:rsidRPr="00B02D00" w:rsidRDefault="00B02D00" w:rsidP="00B02D00">
      <w:pPr>
        <w:pStyle w:val="ListParagraph"/>
        <w:numPr>
          <w:ilvl w:val="0"/>
          <w:numId w:val="5"/>
        </w:numPr>
        <w:spacing w:before="320" w:after="160" w:line="360" w:lineRule="auto"/>
        <w:rPr>
          <w:rFonts w:ascii="Arial" w:eastAsia="Century Gothic" w:hAnsi="Arial" w:cs="Arial"/>
          <w:bCs/>
          <w:sz w:val="20"/>
          <w:szCs w:val="20"/>
          <w:lang w:val="en-US"/>
        </w:rPr>
      </w:pPr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 xml:space="preserve">Conduct a thorough reading of the selected judgment, paying close attention to the issues raised, legal rules applied, analysis provided, and </w:t>
      </w:r>
      <w:proofErr w:type="gramStart"/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>the final conclusion</w:t>
      </w:r>
      <w:proofErr w:type="gramEnd"/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 xml:space="preserve"> reached by the court.</w:t>
      </w:r>
    </w:p>
    <w:p w14:paraId="6E7A3779" w14:textId="77777777" w:rsidR="00B02D00" w:rsidRPr="00B02D00" w:rsidRDefault="00B02D00" w:rsidP="00B02D00">
      <w:pPr>
        <w:pStyle w:val="ListParagraph"/>
        <w:numPr>
          <w:ilvl w:val="0"/>
          <w:numId w:val="5"/>
        </w:numPr>
        <w:spacing w:before="320" w:after="160" w:line="360" w:lineRule="auto"/>
        <w:rPr>
          <w:rFonts w:ascii="Arial" w:eastAsia="Century Gothic" w:hAnsi="Arial" w:cs="Arial"/>
          <w:bCs/>
          <w:sz w:val="20"/>
          <w:szCs w:val="20"/>
          <w:lang w:val="en-US"/>
        </w:rPr>
      </w:pPr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>Use the IRAC method to structure your analysis:</w:t>
      </w:r>
    </w:p>
    <w:p w14:paraId="06FA6BFF" w14:textId="77777777" w:rsidR="00B02D00" w:rsidRDefault="00B02D00" w:rsidP="00B02D00">
      <w:pPr>
        <w:pStyle w:val="ListParagraph"/>
        <w:numPr>
          <w:ilvl w:val="0"/>
          <w:numId w:val="5"/>
        </w:numPr>
        <w:spacing w:before="320" w:after="160" w:line="360" w:lineRule="auto"/>
        <w:rPr>
          <w:rFonts w:ascii="Arial" w:eastAsia="Century Gothic" w:hAnsi="Arial" w:cs="Arial"/>
          <w:bCs/>
          <w:sz w:val="20"/>
          <w:szCs w:val="20"/>
          <w:lang w:val="en-US"/>
        </w:rPr>
      </w:pPr>
      <w:r w:rsidRPr="00B02D00">
        <w:rPr>
          <w:rFonts w:ascii="Arial" w:eastAsia="Century Gothic" w:hAnsi="Arial" w:cs="Arial"/>
          <w:bCs/>
          <w:sz w:val="20"/>
          <w:szCs w:val="20"/>
          <w:lang w:val="en-US"/>
        </w:rPr>
        <w:t>Conduct a comparative analysis of the selected judgment with at least one other judgment, either from the same jurisdiction or a different jurisdiction. Compare and contrast the legal principles, reasoning, and outcomes of the cases.</w:t>
      </w:r>
    </w:p>
    <w:p w14:paraId="183C6486" w14:textId="7ECE4F49" w:rsidR="00F92B48" w:rsidRPr="00B02D00" w:rsidRDefault="001B26DD" w:rsidP="00B02D00">
      <w:pPr>
        <w:pStyle w:val="ListParagraph"/>
        <w:numPr>
          <w:ilvl w:val="0"/>
          <w:numId w:val="5"/>
        </w:numPr>
        <w:spacing w:before="320" w:after="160" w:line="360" w:lineRule="auto"/>
        <w:rPr>
          <w:rFonts w:ascii="Arial" w:eastAsia="Century Gothic" w:hAnsi="Arial" w:cs="Arial"/>
          <w:bCs/>
          <w:sz w:val="22"/>
          <w:szCs w:val="22"/>
          <w:lang w:val="en-US"/>
        </w:rPr>
      </w:pPr>
      <w:r w:rsidRPr="00B02D00">
        <w:rPr>
          <w:rFonts w:ascii="Arial" w:hAnsi="Arial" w:cs="Arial"/>
          <w:sz w:val="22"/>
          <w:szCs w:val="22"/>
        </w:rPr>
        <w:t>Please mail the submissions to _______________ after the lecture</w:t>
      </w:r>
    </w:p>
    <w:sectPr w:rsidR="00F92B48" w:rsidRPr="00B02D00" w:rsidSect="001B26DD">
      <w:headerReference w:type="default" r:id="rId7"/>
      <w:footerReference w:type="default" r:id="rId8"/>
      <w:pgSz w:w="11906" w:h="16838"/>
      <w:pgMar w:top="1440" w:right="1440" w:bottom="1440" w:left="1440" w:header="79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417F4" w14:textId="77777777" w:rsidR="00205C5D" w:rsidRDefault="00205C5D">
      <w:r>
        <w:separator/>
      </w:r>
    </w:p>
  </w:endnote>
  <w:endnote w:type="continuationSeparator" w:id="0">
    <w:p w14:paraId="785992FB" w14:textId="77777777" w:rsidR="00205C5D" w:rsidRDefault="0020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4B197" w14:textId="77777777" w:rsidR="00205C5D" w:rsidRDefault="00205C5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3237"/>
      </w:tabs>
      <w:rPr>
        <w:color w:val="000000"/>
        <w:sz w:val="22"/>
        <w:szCs w:val="22"/>
      </w:rPr>
    </w:pPr>
  </w:p>
  <w:p w14:paraId="3A8DA082" w14:textId="77777777" w:rsidR="00205C5D" w:rsidRDefault="00205C5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3237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  <w:tab/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2CE6BE00" wp14:editId="2B13DC65">
          <wp:simplePos x="0" y="0"/>
          <wp:positionH relativeFrom="column">
            <wp:posOffset>-899159</wp:posOffset>
          </wp:positionH>
          <wp:positionV relativeFrom="paragraph">
            <wp:posOffset>-481769</wp:posOffset>
          </wp:positionV>
          <wp:extent cx="7540625" cy="1083310"/>
          <wp:effectExtent l="0" t="0" r="0" b="0"/>
          <wp:wrapSquare wrapText="bothSides" distT="0" distB="0" distL="114300" distR="114300"/>
          <wp:docPr id="137474767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0625" cy="10833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17438" w14:textId="77777777" w:rsidR="00205C5D" w:rsidRDefault="00205C5D">
      <w:r>
        <w:separator/>
      </w:r>
    </w:p>
  </w:footnote>
  <w:footnote w:type="continuationSeparator" w:id="0">
    <w:p w14:paraId="20F5E76C" w14:textId="77777777" w:rsidR="00205C5D" w:rsidRDefault="00205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4B489" w14:textId="77777777" w:rsidR="00205C5D" w:rsidRDefault="00205C5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298883D2" wp14:editId="7535D053">
          <wp:simplePos x="0" y="0"/>
          <wp:positionH relativeFrom="column">
            <wp:posOffset>-789938</wp:posOffset>
          </wp:positionH>
          <wp:positionV relativeFrom="paragraph">
            <wp:posOffset>-309244</wp:posOffset>
          </wp:positionV>
          <wp:extent cx="2242185" cy="609600"/>
          <wp:effectExtent l="0" t="0" r="0" b="0"/>
          <wp:wrapSquare wrapText="bothSides" distT="0" distB="0" distL="114300" distR="114300"/>
          <wp:docPr id="1374747672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42185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2C85F378" wp14:editId="29DA0B0D">
          <wp:simplePos x="0" y="0"/>
          <wp:positionH relativeFrom="column">
            <wp:posOffset>4621530</wp:posOffset>
          </wp:positionH>
          <wp:positionV relativeFrom="paragraph">
            <wp:posOffset>-434339</wp:posOffset>
          </wp:positionV>
          <wp:extent cx="1980565" cy="1062355"/>
          <wp:effectExtent l="0" t="0" r="0" b="0"/>
          <wp:wrapSquare wrapText="bothSides" distT="0" distB="0" distL="114300" distR="114300"/>
          <wp:docPr id="137474767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565" cy="1062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7244"/>
    <w:multiLevelType w:val="multilevel"/>
    <w:tmpl w:val="C0063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2B0249"/>
    <w:multiLevelType w:val="multilevel"/>
    <w:tmpl w:val="CE44A8EA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/>
        <w:b/>
        <w:color w:val="003399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560FF"/>
    <w:multiLevelType w:val="hybridMultilevel"/>
    <w:tmpl w:val="5F20D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E2621"/>
    <w:multiLevelType w:val="hybridMultilevel"/>
    <w:tmpl w:val="FEB4D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61331F"/>
    <w:multiLevelType w:val="multilevel"/>
    <w:tmpl w:val="EA22E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372014">
    <w:abstractNumId w:val="1"/>
  </w:num>
  <w:num w:numId="2" w16cid:durableId="694622566">
    <w:abstractNumId w:val="4"/>
  </w:num>
  <w:num w:numId="3" w16cid:durableId="1552689413">
    <w:abstractNumId w:val="0"/>
  </w:num>
  <w:num w:numId="4" w16cid:durableId="1781292736">
    <w:abstractNumId w:val="2"/>
  </w:num>
  <w:num w:numId="5" w16cid:durableId="595334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6DD"/>
    <w:rsid w:val="001B26DD"/>
    <w:rsid w:val="00205C5D"/>
    <w:rsid w:val="00B02D00"/>
    <w:rsid w:val="00C51B8C"/>
    <w:rsid w:val="00CA7CEA"/>
    <w:rsid w:val="00F9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CD6CBB"/>
  <w15:chartTrackingRefBased/>
  <w15:docId w15:val="{646E1F22-5558-48FB-862E-1EBE4D08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kern w:val="2"/>
        <w:sz w:val="24"/>
        <w:szCs w:val="22"/>
        <w:lang w:val="en-US" w:eastAsia="en-US" w:bidi="hi-IN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6DD"/>
    <w:pPr>
      <w:spacing w:after="0" w:line="240" w:lineRule="auto"/>
      <w:jc w:val="left"/>
    </w:pPr>
    <w:rPr>
      <w:rFonts w:ascii="Calibri" w:eastAsia="Calibri" w:hAnsi="Calibri" w:cs="Calibri"/>
      <w:color w:val="auto"/>
      <w:kern w:val="0"/>
      <w:szCs w:val="24"/>
      <w:lang w:val="en-IN" w:eastAsia="en-IN" w:bidi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26D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26D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B2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1495</Characters>
  <Application>Microsoft Office Word</Application>
  <DocSecurity>0</DocSecurity>
  <Lines>38</Lines>
  <Paragraphs>21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Pandey</dc:creator>
  <cp:keywords/>
  <dc:description/>
  <cp:lastModifiedBy>Alina Pandey</cp:lastModifiedBy>
  <cp:revision>2</cp:revision>
  <dcterms:created xsi:type="dcterms:W3CDTF">2024-04-12T21:42:00Z</dcterms:created>
  <dcterms:modified xsi:type="dcterms:W3CDTF">2024-04-12T21:42:00Z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9ffbc8b8-07df-4358-a817-035a602d0164</vt:lpwstr>
  </property>
</Properties>
</file>